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台州市港航口岸和渔业管理局</w:t>
      </w:r>
    </w:p>
    <w:p>
      <w:pPr>
        <w:spacing w:line="600" w:lineRule="exact"/>
        <w:jc w:val="center"/>
        <w:rPr>
          <w:rFonts w:hint="default" w:ascii="Times New Roman" w:hAnsi="Times New Roman" w:eastAsia="方正小标宋简体" w:cs="Times New Roman"/>
          <w:sz w:val="44"/>
          <w:szCs w:val="52"/>
        </w:rPr>
      </w:pPr>
      <w:r>
        <w:rPr>
          <w:rFonts w:hint="default" w:ascii="Times New Roman" w:hAnsi="Times New Roman" w:eastAsia="方正小标宋简体" w:cs="Times New Roman"/>
          <w:sz w:val="44"/>
          <w:szCs w:val="52"/>
        </w:rPr>
        <w:t>2021年度</w:t>
      </w:r>
      <w:r>
        <w:rPr>
          <w:rFonts w:hint="default" w:ascii="Times New Roman" w:hAnsi="Times New Roman" w:eastAsia="方正小标宋简体" w:cs="Times New Roman"/>
          <w:sz w:val="44"/>
          <w:szCs w:val="52"/>
          <w:lang w:eastAsia="zh-CN"/>
        </w:rPr>
        <w:t>政务</w:t>
      </w:r>
      <w:r>
        <w:rPr>
          <w:rFonts w:hint="default" w:ascii="Times New Roman" w:hAnsi="Times New Roman" w:eastAsia="方正小标宋简体" w:cs="Times New Roman"/>
          <w:sz w:val="44"/>
          <w:szCs w:val="52"/>
        </w:rPr>
        <w:t>公开工作</w:t>
      </w:r>
      <w:r>
        <w:rPr>
          <w:rFonts w:hint="default" w:ascii="Times New Roman" w:hAnsi="Times New Roman" w:eastAsia="方正小标宋简体" w:cs="Times New Roman"/>
          <w:sz w:val="44"/>
          <w:szCs w:val="52"/>
          <w:lang w:val="en-US" w:eastAsia="zh-CN"/>
        </w:rPr>
        <w:t>年度</w:t>
      </w:r>
      <w:r>
        <w:rPr>
          <w:rFonts w:hint="default" w:ascii="Times New Roman" w:hAnsi="Times New Roman" w:eastAsia="方正小标宋简体" w:cs="Times New Roman"/>
          <w:sz w:val="44"/>
          <w:szCs w:val="52"/>
        </w:rPr>
        <w:t>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lang w:eastAsia="zh-CN"/>
        </w:rPr>
      </w:pPr>
    </w:p>
    <w:p>
      <w:pPr>
        <w:ind w:firstLine="640" w:firstLineChars="200"/>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40"/>
          <w:lang w:eastAsia="zh-CN"/>
        </w:rPr>
        <w:t>根据</w:t>
      </w:r>
      <w:r>
        <w:rPr>
          <w:rFonts w:hint="default" w:ascii="Times New Roman" w:hAnsi="Times New Roman" w:eastAsia="仿宋_GB2312" w:cs="Times New Roman"/>
          <w:sz w:val="32"/>
          <w:szCs w:val="32"/>
          <w:lang w:bidi="ar"/>
        </w:rPr>
        <w:t>国务院办公厅</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color w:val="auto"/>
          <w:sz w:val="32"/>
          <w:szCs w:val="32"/>
          <w:lang w:bidi="ar"/>
        </w:rPr>
        <w:t>关于印发〈中华人民共和国政府信息公开工作年度报告格式〉的通知</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color w:val="auto"/>
          <w:sz w:val="32"/>
          <w:szCs w:val="32"/>
          <w:lang w:bidi="ar"/>
        </w:rPr>
        <w:t>（国办公开办函〔2021〕30号）</w:t>
      </w:r>
      <w:r>
        <w:rPr>
          <w:rFonts w:hint="default" w:ascii="Times New Roman" w:hAnsi="Times New Roman" w:eastAsia="仿宋_GB2312" w:cs="Times New Roman"/>
          <w:sz w:val="32"/>
          <w:szCs w:val="32"/>
          <w:lang w:bidi="ar"/>
        </w:rPr>
        <w:t>、省政府办公厅2021年政务公开工作要点和《台州市人民政府办公室关于加快推进2021年台州市政务公开工作的实施意见》（台政办发〔2021〕28号），</w:t>
      </w:r>
      <w:r>
        <w:rPr>
          <w:rFonts w:hint="default" w:ascii="Times New Roman" w:hAnsi="Times New Roman" w:eastAsia="仿宋_GB2312" w:cs="Times New Roman"/>
          <w:sz w:val="32"/>
          <w:szCs w:val="32"/>
          <w:lang w:eastAsia="zh-CN" w:bidi="ar"/>
        </w:rPr>
        <w:t>现将</w:t>
      </w:r>
      <w:r>
        <w:rPr>
          <w:rFonts w:hint="default" w:ascii="Times New Roman" w:hAnsi="Times New Roman" w:eastAsia="仿宋_GB2312" w:cs="Times New Roman"/>
          <w:sz w:val="32"/>
          <w:szCs w:val="32"/>
          <w:lang w:bidi="ar"/>
        </w:rPr>
        <w:t>台州市港航口岸和渔业管理局政务公开</w:t>
      </w:r>
      <w:r>
        <w:rPr>
          <w:rFonts w:hint="default" w:ascii="Times New Roman" w:hAnsi="Times New Roman" w:eastAsia="仿宋_GB2312" w:cs="Times New Roman"/>
          <w:sz w:val="32"/>
          <w:szCs w:val="32"/>
          <w:lang w:val="en-US" w:eastAsia="zh-CN" w:bidi="ar"/>
        </w:rPr>
        <w:t>工作</w:t>
      </w:r>
      <w:r>
        <w:rPr>
          <w:rFonts w:hint="default" w:ascii="Times New Roman" w:hAnsi="Times New Roman" w:eastAsia="仿宋_GB2312" w:cs="Times New Roman"/>
          <w:sz w:val="32"/>
          <w:szCs w:val="32"/>
          <w:lang w:bidi="ar"/>
        </w:rPr>
        <w:t>情况汇报如下：</w:t>
      </w:r>
    </w:p>
    <w:p>
      <w:pPr>
        <w:keepNext w:val="0"/>
        <w:keepLines w:val="0"/>
        <w:pageBreakBefore w:val="0"/>
        <w:widowControl/>
        <w:numPr>
          <w:ilvl w:val="0"/>
          <w:numId w:val="0"/>
        </w:numPr>
        <w:kinsoku/>
        <w:wordWrap/>
        <w:overflowPunct/>
        <w:topLinePunct w:val="0"/>
        <w:autoSpaceDE/>
        <w:autoSpaceDN/>
        <w:bidi w:val="0"/>
        <w:adjustRightInd/>
        <w:snapToGrid/>
        <w:ind w:firstLine="620" w:firstLineChars="200"/>
        <w:jc w:val="left"/>
        <w:textAlignment w:val="auto"/>
        <w:rPr>
          <w:rFonts w:hint="default" w:ascii="Times New Roman" w:hAnsi="Times New Roman" w:eastAsia="黑体" w:cs="Times New Roman"/>
          <w:color w:val="000000"/>
          <w:kern w:val="0"/>
          <w:sz w:val="31"/>
          <w:szCs w:val="31"/>
          <w:lang w:val="en-US" w:eastAsia="zh-CN" w:bidi="ar"/>
        </w:rPr>
      </w:pPr>
      <w:r>
        <w:rPr>
          <w:rFonts w:hint="eastAsia" w:ascii="Times New Roman" w:hAnsi="Times New Roman" w:eastAsia="黑体" w:cs="Times New Roman"/>
          <w:color w:val="000000"/>
          <w:kern w:val="0"/>
          <w:sz w:val="31"/>
          <w:szCs w:val="31"/>
          <w:lang w:val="en-US" w:eastAsia="zh-CN" w:bidi="ar"/>
        </w:rPr>
        <w:t>一、</w:t>
      </w:r>
      <w:r>
        <w:rPr>
          <w:rFonts w:hint="default" w:ascii="Times New Roman" w:hAnsi="Times New Roman" w:eastAsia="黑体" w:cs="Times New Roman"/>
          <w:color w:val="000000"/>
          <w:kern w:val="0"/>
          <w:sz w:val="31"/>
          <w:szCs w:val="31"/>
          <w:lang w:val="en-US" w:eastAsia="zh-CN" w:bidi="ar"/>
        </w:rPr>
        <w:t>总体情况</w:t>
      </w:r>
    </w:p>
    <w:p>
      <w:pPr>
        <w:keepNext w:val="0"/>
        <w:keepLines w:val="0"/>
        <w:pageBreakBefore w:val="0"/>
        <w:widowControl/>
        <w:numPr>
          <w:ilvl w:val="0"/>
          <w:numId w:val="0"/>
        </w:numPr>
        <w:kinsoku/>
        <w:wordWrap/>
        <w:overflowPunct/>
        <w:topLinePunct w:val="0"/>
        <w:autoSpaceDE/>
        <w:autoSpaceDN/>
        <w:bidi w:val="0"/>
        <w:adjustRightInd/>
        <w:snapToGrid/>
        <w:ind w:firstLine="620" w:firstLineChars="200"/>
        <w:jc w:val="both"/>
        <w:textAlignment w:val="auto"/>
        <w:rPr>
          <w:rFonts w:hint="default" w:ascii="Times New Roman" w:hAnsi="Times New Roman" w:eastAsia="黑体" w:cs="Times New Roman"/>
          <w:color w:val="000000"/>
          <w:kern w:val="0"/>
          <w:sz w:val="31"/>
          <w:szCs w:val="31"/>
          <w:lang w:val="en-US" w:eastAsia="zh-CN" w:bidi="ar"/>
        </w:rPr>
      </w:pPr>
      <w:r>
        <w:rPr>
          <w:rFonts w:hint="default" w:ascii="Times New Roman" w:hAnsi="Times New Roman" w:eastAsia="仿宋_GB2312" w:cs="Times New Roman"/>
          <w:color w:val="000000"/>
          <w:kern w:val="0"/>
          <w:sz w:val="31"/>
          <w:szCs w:val="31"/>
          <w:lang w:val="en-US" w:eastAsia="zh-CN" w:bidi="ar"/>
        </w:rPr>
        <w:t>2021年，我局深入贯彻党的十九届六中全会精神和中央、省市决策部署，聚焦“三立三进三突围”新时代发展路径，扎实推动港口综合开发、口岸全域开放、现代渔业发展、国家渔船渔港综合管理改革、海港口岸疫情防控等重点工作，全力守牢海上安全底线，全力提升政务信息公开工作规范化水平，保障公民、法人和其他组织依法行使知情权、表达权、监督权。</w:t>
      </w:r>
    </w:p>
    <w:p>
      <w:pPr>
        <w:widowControl/>
        <w:ind w:firstLine="620" w:firstLineChars="200"/>
        <w:jc w:val="left"/>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1"/>
          <w:szCs w:val="31"/>
          <w:lang w:eastAsia="zh-CN" w:bidi="ar"/>
        </w:rPr>
        <w:t>（一）加强</w:t>
      </w:r>
      <w:r>
        <w:rPr>
          <w:rFonts w:hint="default" w:ascii="Times New Roman" w:hAnsi="Times New Roman" w:eastAsia="楷体_GB2312" w:cs="Times New Roman"/>
          <w:color w:val="000000"/>
          <w:kern w:val="0"/>
          <w:sz w:val="31"/>
          <w:szCs w:val="31"/>
          <w:lang w:bidi="ar"/>
        </w:rPr>
        <w:t>组织领导</w:t>
      </w:r>
      <w:r>
        <w:rPr>
          <w:rFonts w:hint="default" w:ascii="Times New Roman" w:hAnsi="Times New Roman" w:eastAsia="楷体_GB2312" w:cs="Times New Roman"/>
          <w:color w:val="000000"/>
          <w:kern w:val="0"/>
          <w:sz w:val="31"/>
          <w:szCs w:val="31"/>
          <w:lang w:eastAsia="zh-CN" w:bidi="ar"/>
        </w:rPr>
        <w:t>，健全工作机制</w:t>
      </w:r>
      <w:r>
        <w:rPr>
          <w:rFonts w:hint="default" w:ascii="Times New Roman" w:hAnsi="Times New Roman" w:eastAsia="楷体_GB2312"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建立由局长任组长，分管领导任副组长，各处室（单位）主要负责人为成员的政府信息公开工作领导小组，</w:t>
      </w:r>
      <w:r>
        <w:rPr>
          <w:rFonts w:hint="default" w:ascii="Times New Roman" w:hAnsi="Times New Roman" w:eastAsia="仿宋_GB2312" w:cs="Times New Roman"/>
          <w:color w:val="000000"/>
          <w:kern w:val="0"/>
          <w:sz w:val="31"/>
          <w:szCs w:val="31"/>
          <w:lang w:val="en-US" w:eastAsia="zh-CN" w:bidi="ar"/>
        </w:rPr>
        <w:t>对照要求</w:t>
      </w:r>
      <w:r>
        <w:rPr>
          <w:rFonts w:hint="default" w:ascii="Times New Roman" w:hAnsi="Times New Roman" w:eastAsia="仿宋_GB2312" w:cs="Times New Roman"/>
          <w:color w:val="000000"/>
          <w:kern w:val="0"/>
          <w:sz w:val="31"/>
          <w:szCs w:val="31"/>
          <w:lang w:bidi="ar"/>
        </w:rPr>
        <w:t>定期研究政务公开工作。严格按照“谁管理、谁公开”和“谁负责、谁公开”的原则，</w:t>
      </w:r>
      <w:r>
        <w:rPr>
          <w:rFonts w:hint="default" w:ascii="Times New Roman" w:hAnsi="Times New Roman" w:eastAsia="仿宋_GB2312" w:cs="Times New Roman"/>
          <w:color w:val="000000"/>
          <w:kern w:val="0"/>
          <w:sz w:val="31"/>
          <w:szCs w:val="31"/>
          <w:lang w:val="en-US" w:eastAsia="zh-CN" w:bidi="ar"/>
        </w:rPr>
        <w:t>组织</w:t>
      </w:r>
      <w:r>
        <w:rPr>
          <w:rFonts w:hint="default" w:ascii="Times New Roman" w:hAnsi="Times New Roman" w:eastAsia="仿宋_GB2312" w:cs="Times New Roman"/>
          <w:color w:val="000000"/>
          <w:kern w:val="0"/>
          <w:sz w:val="31"/>
          <w:szCs w:val="31"/>
          <w:lang w:bidi="ar"/>
        </w:rPr>
        <w:t>各处室推动政务工作开展，</w:t>
      </w:r>
      <w:r>
        <w:rPr>
          <w:rFonts w:hint="default" w:ascii="Times New Roman" w:hAnsi="Times New Roman" w:eastAsia="仿宋_GB2312" w:cs="Times New Roman"/>
          <w:sz w:val="32"/>
          <w:szCs w:val="32"/>
        </w:rPr>
        <w:t>完善决策、执行、管理、服务、结果“五公开”，将其纳入办文、办会制度。</w:t>
      </w:r>
    </w:p>
    <w:p>
      <w:pPr>
        <w:widowControl/>
        <w:ind w:firstLine="620" w:firstLineChars="200"/>
        <w:jc w:val="both"/>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eastAsia="zh-CN" w:bidi="ar"/>
        </w:rPr>
        <w:t>（二）加大公开力度</w:t>
      </w:r>
      <w:r>
        <w:rPr>
          <w:rFonts w:hint="default" w:ascii="Times New Roman" w:hAnsi="Times New Roman" w:eastAsia="楷体_GB2312" w:cs="Times New Roman"/>
          <w:color w:val="000000"/>
          <w:kern w:val="0"/>
          <w:sz w:val="31"/>
          <w:szCs w:val="31"/>
          <w:lang w:bidi="ar"/>
        </w:rPr>
        <w:t>，</w:t>
      </w:r>
      <w:r>
        <w:rPr>
          <w:rFonts w:hint="default" w:ascii="Times New Roman" w:hAnsi="Times New Roman" w:eastAsia="楷体_GB2312" w:cs="Times New Roman"/>
          <w:color w:val="000000"/>
          <w:kern w:val="0"/>
          <w:sz w:val="31"/>
          <w:szCs w:val="31"/>
          <w:lang w:eastAsia="zh-CN" w:bidi="ar"/>
        </w:rPr>
        <w:t>及时回应关切。</w:t>
      </w:r>
      <w:r>
        <w:rPr>
          <w:rFonts w:hint="default" w:ascii="Times New Roman" w:hAnsi="Times New Roman" w:eastAsia="仿宋_GB2312" w:cs="Times New Roman"/>
          <w:sz w:val="32"/>
          <w:szCs w:val="32"/>
        </w:rPr>
        <w:t>加大信息公开力度，加强政策解读回应，确保信息发布规范有序、有的放矢。认真梳理年度政府信息公开工作情况，落实专人编制年度报告，并经局领导审核及时发布年度报告。</w:t>
      </w:r>
      <w:r>
        <w:rPr>
          <w:rFonts w:hint="default" w:ascii="Times New Roman" w:hAnsi="Times New Roman" w:eastAsia="仿宋_GB2312" w:cs="Times New Roman"/>
          <w:sz w:val="32"/>
          <w:szCs w:val="32"/>
          <w:lang w:bidi="ar"/>
        </w:rPr>
        <w:t>按月公开</w:t>
      </w:r>
      <w:r>
        <w:rPr>
          <w:rFonts w:hint="default" w:ascii="Times New Roman" w:hAnsi="Times New Roman" w:eastAsia="仿宋_GB2312" w:cs="Times New Roman"/>
          <w:sz w:val="32"/>
          <w:szCs w:val="32"/>
          <w:lang w:eastAsia="zh-CN" w:bidi="ar"/>
        </w:rPr>
        <w:t>台州市</w:t>
      </w:r>
      <w:r>
        <w:rPr>
          <w:rFonts w:hint="default" w:ascii="Times New Roman" w:hAnsi="Times New Roman" w:eastAsia="仿宋_GB2312" w:cs="Times New Roman"/>
          <w:sz w:val="32"/>
          <w:szCs w:val="32"/>
          <w:lang w:bidi="ar"/>
        </w:rPr>
        <w:t>渔业经济</w:t>
      </w:r>
      <w:r>
        <w:rPr>
          <w:rFonts w:hint="default" w:ascii="Times New Roman" w:hAnsi="Times New Roman" w:eastAsia="仿宋_GB2312" w:cs="Times New Roman"/>
          <w:sz w:val="32"/>
          <w:szCs w:val="32"/>
          <w:lang w:eastAsia="zh-CN" w:bidi="ar"/>
        </w:rPr>
        <w:t>运行</w:t>
      </w:r>
      <w:r>
        <w:rPr>
          <w:rFonts w:hint="default" w:ascii="Times New Roman" w:hAnsi="Times New Roman" w:eastAsia="仿宋_GB2312" w:cs="Times New Roman"/>
          <w:sz w:val="32"/>
          <w:szCs w:val="32"/>
          <w:lang w:bidi="ar"/>
        </w:rPr>
        <w:t>分析，积极助力渔业产业</w:t>
      </w:r>
      <w:r>
        <w:rPr>
          <w:rFonts w:hint="default" w:ascii="Times New Roman" w:hAnsi="Times New Roman" w:eastAsia="仿宋_GB2312" w:cs="Times New Roman"/>
          <w:sz w:val="32"/>
          <w:szCs w:val="32"/>
          <w:lang w:eastAsia="zh-CN" w:bidi="ar"/>
        </w:rPr>
        <w:t>高质量</w:t>
      </w:r>
      <w:r>
        <w:rPr>
          <w:rFonts w:hint="default" w:ascii="Times New Roman" w:hAnsi="Times New Roman" w:eastAsia="仿宋_GB2312" w:cs="Times New Roman"/>
          <w:sz w:val="32"/>
          <w:szCs w:val="32"/>
          <w:lang w:bidi="ar"/>
        </w:rPr>
        <w:t>发展。</w:t>
      </w:r>
      <w:r>
        <w:rPr>
          <w:rFonts w:hint="default" w:ascii="Times New Roman" w:hAnsi="Times New Roman" w:eastAsia="仿宋_GB2312" w:cs="Times New Roman"/>
          <w:color w:val="000000"/>
          <w:kern w:val="0"/>
          <w:sz w:val="31"/>
          <w:szCs w:val="31"/>
          <w:lang w:bidi="ar"/>
        </w:rPr>
        <w:t>针对渔业非法捕捞、违法作业、水产品安全等问题，</w:t>
      </w:r>
      <w:r>
        <w:rPr>
          <w:rFonts w:hint="default" w:ascii="Times New Roman" w:hAnsi="Times New Roman" w:eastAsia="仿宋_GB2312" w:cs="Times New Roman"/>
          <w:color w:val="000000"/>
          <w:kern w:val="0"/>
          <w:sz w:val="31"/>
          <w:szCs w:val="31"/>
          <w:lang w:val="en-US" w:eastAsia="zh-CN" w:bidi="ar"/>
        </w:rPr>
        <w:t>累计采取行政强制（扣押渔船）6起，行政处罚108起，罚没收入1912110.5元（联同港航事业发展中心处罚金额）。由于完成市本级渔船清零，无渔业增殖保护费收入，2021年无行政事业性收费、无收取信息处理费情况。</w:t>
      </w:r>
      <w:r>
        <w:rPr>
          <w:rFonts w:hint="default" w:ascii="Times New Roman" w:hAnsi="Times New Roman" w:eastAsia="仿宋_GB2312" w:cs="Times New Roman"/>
          <w:sz w:val="32"/>
        </w:rPr>
        <w:t>全年共办理行政许可8720件，其中渔船类许可507件，职务船员类许可8179件，水生野生动物类许可34件。</w:t>
      </w:r>
      <w:r>
        <w:rPr>
          <w:rFonts w:hint="default" w:ascii="Times New Roman" w:hAnsi="Times New Roman" w:eastAsia="仿宋_GB2312" w:cs="Times New Roman"/>
          <w:color w:val="000000"/>
          <w:kern w:val="0"/>
          <w:sz w:val="31"/>
          <w:szCs w:val="31"/>
          <w:lang w:bidi="ar"/>
        </w:rPr>
        <w:t>建立研判回应机制，助力相关问题及时解决。</w:t>
      </w:r>
    </w:p>
    <w:p>
      <w:pPr>
        <w:widowControl/>
        <w:ind w:firstLine="640" w:firstLineChars="200"/>
        <w:jc w:val="both"/>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eastAsia="zh-CN" w:bidi="ar"/>
        </w:rPr>
        <w:t>（三）聚焦</w:t>
      </w:r>
      <w:r>
        <w:rPr>
          <w:rFonts w:hint="default" w:ascii="Times New Roman" w:hAnsi="Times New Roman" w:eastAsia="楷体_GB2312" w:cs="Times New Roman"/>
          <w:sz w:val="32"/>
          <w:szCs w:val="32"/>
          <w:lang w:bidi="ar"/>
        </w:rPr>
        <w:t>重点领域</w:t>
      </w:r>
      <w:r>
        <w:rPr>
          <w:rFonts w:hint="default" w:ascii="Times New Roman" w:hAnsi="Times New Roman" w:eastAsia="楷体_GB2312" w:cs="Times New Roman"/>
          <w:sz w:val="32"/>
          <w:szCs w:val="32"/>
          <w:lang w:eastAsia="zh-CN" w:bidi="ar"/>
        </w:rPr>
        <w:t>，全面依法公开</w:t>
      </w:r>
      <w:r>
        <w:rPr>
          <w:rFonts w:hint="default" w:ascii="Times New Roman" w:hAnsi="Times New Roman" w:eastAsia="楷体_GB2312" w:cs="Times New Roman"/>
          <w:sz w:val="32"/>
          <w:szCs w:val="32"/>
          <w:lang w:bidi="ar"/>
        </w:rPr>
        <w:t>。</w:t>
      </w:r>
      <w:r>
        <w:rPr>
          <w:rFonts w:hint="default" w:ascii="Times New Roman" w:hAnsi="Times New Roman" w:eastAsia="仿宋_GB2312" w:cs="Times New Roman"/>
          <w:color w:val="000000"/>
          <w:kern w:val="0"/>
          <w:sz w:val="31"/>
          <w:szCs w:val="31"/>
          <w:lang w:bidi="ar"/>
        </w:rPr>
        <w:t>强化政令权威发布，推进政府规章和行政规范性文件统一公开。按照2021年年度政务公开工作实施意见，对财政预决算、三公经费、行政处罚、渔业生产成本补贴、渔业贩销表彰、渔船整治等予以全面公开，</w:t>
      </w:r>
      <w:r>
        <w:rPr>
          <w:rFonts w:hint="default" w:ascii="Times New Roman" w:hAnsi="Times New Roman" w:eastAsia="仿宋_GB2312" w:cs="Times New Roman"/>
          <w:sz w:val="32"/>
          <w:szCs w:val="32"/>
          <w:lang w:bidi="ar"/>
        </w:rPr>
        <w:t>及时发布“十四五”发展规划和专项规划、渔船渔港疫情管控、渔业临时补助、水生野生动物保护等专项通知</w:t>
      </w:r>
      <w:r>
        <w:rPr>
          <w:rFonts w:hint="default" w:ascii="Times New Roman" w:hAnsi="Times New Roman" w:eastAsia="仿宋_GB2312" w:cs="Times New Roman"/>
          <w:color w:val="000000"/>
          <w:kern w:val="0"/>
          <w:sz w:val="31"/>
          <w:szCs w:val="31"/>
          <w:lang w:bidi="ar"/>
        </w:rPr>
        <w:t>。</w:t>
      </w:r>
      <w:r>
        <w:rPr>
          <w:rFonts w:hint="default" w:ascii="Times New Roman" w:hAnsi="Times New Roman" w:eastAsia="仿宋_GB2312" w:cs="Times New Roman"/>
          <w:color w:val="000000"/>
          <w:kern w:val="0"/>
          <w:sz w:val="31"/>
          <w:szCs w:val="31"/>
          <w:lang w:eastAsia="zh-CN" w:bidi="ar"/>
        </w:rPr>
        <w:t>认真及时</w:t>
      </w:r>
      <w:r>
        <w:rPr>
          <w:rFonts w:hint="default" w:ascii="Times New Roman" w:hAnsi="Times New Roman" w:eastAsia="仿宋_GB2312" w:cs="Times New Roman"/>
          <w:color w:val="000000"/>
          <w:kern w:val="0"/>
          <w:sz w:val="31"/>
          <w:szCs w:val="31"/>
          <w:lang w:bidi="ar"/>
        </w:rPr>
        <w:t>完成政务信息公开整改要求</w:t>
      </w:r>
      <w:r>
        <w:rPr>
          <w:rFonts w:hint="default" w:ascii="Times New Roman" w:hAnsi="Times New Roman" w:eastAsia="仿宋_GB2312" w:cs="Times New Roman"/>
          <w:color w:val="000000"/>
          <w:kern w:val="0"/>
          <w:sz w:val="31"/>
          <w:szCs w:val="31"/>
          <w:lang w:eastAsia="zh-CN" w:bidi="ar"/>
        </w:rPr>
        <w:t>。</w:t>
      </w:r>
      <w:r>
        <w:rPr>
          <w:rFonts w:hint="default" w:ascii="Times New Roman" w:hAnsi="Times New Roman" w:eastAsia="仿宋_GB2312" w:cs="Times New Roman"/>
          <w:sz w:val="32"/>
          <w:szCs w:val="32"/>
          <w:lang w:bidi="ar"/>
        </w:rPr>
        <w:t>严格落实行政处罚、行政许可“双公示”制度，</w:t>
      </w:r>
      <w:r>
        <w:rPr>
          <w:rFonts w:hint="default" w:ascii="Times New Roman" w:hAnsi="Times New Roman" w:eastAsia="仿宋_GB2312" w:cs="Times New Roman"/>
          <w:color w:val="000000"/>
          <w:kern w:val="0"/>
          <w:sz w:val="31"/>
          <w:szCs w:val="31"/>
          <w:lang w:bidi="ar"/>
        </w:rPr>
        <w:t>积极推进行政服务中</w:t>
      </w:r>
      <w:r>
        <w:rPr>
          <w:rFonts w:hint="default" w:ascii="Times New Roman" w:hAnsi="Times New Roman" w:eastAsia="仿宋_GB2312" w:cs="Times New Roman"/>
          <w:sz w:val="32"/>
          <w:szCs w:val="32"/>
          <w:lang w:bidi="ar"/>
        </w:rPr>
        <w:t>心政务公开标准化</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规范化。2021年度共公布政务信息139条，未发布行政规范性文件，广泛接受群众监督。</w:t>
      </w:r>
    </w:p>
    <w:p>
      <w:pPr>
        <w:widowControl/>
        <w:ind w:firstLine="640" w:firstLineChars="200"/>
        <w:jc w:val="both"/>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eastAsia="zh-CN" w:bidi="ar"/>
        </w:rPr>
        <w:t>（四）全面</w:t>
      </w:r>
      <w:r>
        <w:rPr>
          <w:rFonts w:hint="default" w:ascii="Times New Roman" w:hAnsi="Times New Roman" w:eastAsia="楷体_GB2312" w:cs="Times New Roman"/>
          <w:sz w:val="32"/>
          <w:szCs w:val="32"/>
          <w:lang w:bidi="ar"/>
        </w:rPr>
        <w:t>梳理文件</w:t>
      </w:r>
      <w:r>
        <w:rPr>
          <w:rFonts w:hint="default" w:ascii="Times New Roman" w:hAnsi="Times New Roman" w:eastAsia="楷体_GB2312" w:cs="Times New Roman"/>
          <w:sz w:val="32"/>
          <w:szCs w:val="32"/>
          <w:lang w:eastAsia="zh-CN" w:bidi="ar"/>
        </w:rPr>
        <w:t>，扎实推进</w:t>
      </w:r>
      <w:r>
        <w:rPr>
          <w:rFonts w:hint="default" w:ascii="Times New Roman" w:hAnsi="Times New Roman" w:eastAsia="楷体_GB2312" w:cs="Times New Roman"/>
          <w:sz w:val="32"/>
          <w:szCs w:val="32"/>
          <w:lang w:bidi="ar"/>
        </w:rPr>
        <w:t>整改。</w:t>
      </w:r>
      <w:r>
        <w:rPr>
          <w:rFonts w:hint="default" w:ascii="Times New Roman" w:hAnsi="Times New Roman" w:eastAsia="仿宋_GB2312" w:cs="Times New Roman"/>
          <w:sz w:val="32"/>
          <w:szCs w:val="32"/>
          <w:lang w:eastAsia="zh-CN" w:bidi="ar"/>
        </w:rPr>
        <w:t>积极</w:t>
      </w:r>
      <w:r>
        <w:rPr>
          <w:rFonts w:hint="default" w:ascii="Times New Roman" w:hAnsi="Times New Roman" w:eastAsia="仿宋_GB2312" w:cs="Times New Roman"/>
          <w:sz w:val="32"/>
          <w:szCs w:val="32"/>
          <w:lang w:bidi="ar"/>
        </w:rPr>
        <w:t>响应</w:t>
      </w:r>
      <w:r>
        <w:rPr>
          <w:rFonts w:hint="default" w:ascii="Times New Roman" w:hAnsi="Times New Roman" w:eastAsia="仿宋_GB2312" w:cs="Times New Roman"/>
          <w:sz w:val="32"/>
          <w:szCs w:val="32"/>
          <w:lang w:eastAsia="zh-CN" w:bidi="ar"/>
        </w:rPr>
        <w:t>上级关于政务公开的</w:t>
      </w:r>
      <w:r>
        <w:rPr>
          <w:rFonts w:hint="default" w:ascii="Times New Roman" w:hAnsi="Times New Roman" w:eastAsia="仿宋_GB2312" w:cs="Times New Roman"/>
          <w:sz w:val="32"/>
          <w:szCs w:val="32"/>
          <w:lang w:bidi="ar"/>
        </w:rPr>
        <w:t>通知</w:t>
      </w:r>
      <w:r>
        <w:rPr>
          <w:rFonts w:hint="default" w:ascii="Times New Roman" w:hAnsi="Times New Roman" w:eastAsia="仿宋_GB2312" w:cs="Times New Roman"/>
          <w:sz w:val="32"/>
          <w:szCs w:val="32"/>
          <w:lang w:eastAsia="zh-CN" w:bidi="ar"/>
        </w:rPr>
        <w:t>要求</w:t>
      </w:r>
      <w:r>
        <w:rPr>
          <w:rFonts w:hint="default" w:ascii="Times New Roman" w:hAnsi="Times New Roman" w:eastAsia="仿宋_GB2312" w:cs="Times New Roman"/>
          <w:sz w:val="32"/>
          <w:szCs w:val="32"/>
          <w:lang w:bidi="ar"/>
        </w:rPr>
        <w:t>，全面清点政府网站历年来发布的所有政策文件、规划文件、公示公告等各个栏目文件，按照要求梳理成清单上传。</w:t>
      </w:r>
      <w:r>
        <w:rPr>
          <w:rFonts w:hint="default" w:ascii="Times New Roman" w:hAnsi="Times New Roman" w:eastAsia="仿宋_GB2312" w:cs="Times New Roman"/>
          <w:sz w:val="32"/>
          <w:szCs w:val="32"/>
          <w:lang w:eastAsia="zh-CN" w:bidi="ar"/>
        </w:rPr>
        <w:t>严格</w:t>
      </w:r>
      <w:r>
        <w:rPr>
          <w:rFonts w:hint="default" w:ascii="Times New Roman" w:hAnsi="Times New Roman" w:eastAsia="仿宋_GB2312" w:cs="Times New Roman"/>
          <w:sz w:val="32"/>
          <w:szCs w:val="32"/>
          <w:lang w:bidi="ar"/>
        </w:rPr>
        <w:t>对照规范，完成核对转移、查漏补缺各项工作</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针对先前发布内容存在规范公开要素缺失的各项文件，按照《台州市人民政府办公室关于做好重要政策文件集中统一公开工作的通知》要求补齐各</w:t>
      </w:r>
      <w:r>
        <w:rPr>
          <w:rFonts w:hint="default" w:ascii="Times New Roman" w:hAnsi="Times New Roman" w:eastAsia="仿宋_GB2312" w:cs="Times New Roman"/>
          <w:sz w:val="32"/>
          <w:szCs w:val="32"/>
          <w:lang w:eastAsia="zh-CN" w:bidi="ar"/>
        </w:rPr>
        <w:t>项</w:t>
      </w:r>
      <w:r>
        <w:rPr>
          <w:rFonts w:hint="default" w:ascii="Times New Roman" w:hAnsi="Times New Roman" w:eastAsia="仿宋_GB2312" w:cs="Times New Roman"/>
          <w:sz w:val="32"/>
          <w:szCs w:val="32"/>
          <w:lang w:bidi="ar"/>
        </w:rPr>
        <w:t>要素或重新上传。</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主动公开政府信息情况</w:t>
      </w:r>
    </w:p>
    <w:tbl>
      <w:tblPr>
        <w:tblStyle w:val="5"/>
        <w:tblW w:w="0" w:type="auto"/>
        <w:jc w:val="center"/>
        <w:tblLayout w:type="fixed"/>
        <w:tblCellMar>
          <w:top w:w="0" w:type="dxa"/>
          <w:left w:w="0" w:type="dxa"/>
          <w:bottom w:w="0" w:type="dxa"/>
          <w:right w:w="0" w:type="dxa"/>
        </w:tblCellMar>
      </w:tblPr>
      <w:tblGrid>
        <w:gridCol w:w="3419"/>
        <w:gridCol w:w="1953"/>
        <w:gridCol w:w="7"/>
        <w:gridCol w:w="1318"/>
        <w:gridCol w:w="1960"/>
      </w:tblGrid>
      <w:tr>
        <w:tblPrEx>
          <w:tblCellMar>
            <w:top w:w="0" w:type="dxa"/>
            <w:left w:w="0" w:type="dxa"/>
            <w:bottom w:w="0" w:type="dxa"/>
            <w:right w:w="0" w:type="dxa"/>
          </w:tblCellMar>
        </w:tblPrEx>
        <w:trPr>
          <w:trHeight w:val="567" w:hRule="atLeast"/>
          <w:jc w:val="center"/>
        </w:trPr>
        <w:tc>
          <w:tcPr>
            <w:tcW w:w="8657"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第二十条第（一）项</w:t>
            </w:r>
          </w:p>
        </w:tc>
      </w:tr>
      <w:tr>
        <w:tblPrEx>
          <w:tblCellMar>
            <w:top w:w="0" w:type="dxa"/>
            <w:left w:w="0" w:type="dxa"/>
            <w:bottom w:w="0" w:type="dxa"/>
            <w:right w:w="0" w:type="dxa"/>
          </w:tblCellMar>
        </w:tblPrEx>
        <w:trPr>
          <w:trHeight w:val="662"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信息内容</w:t>
            </w:r>
          </w:p>
        </w:tc>
        <w:tc>
          <w:tcPr>
            <w:tcW w:w="195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本年新</w:t>
            </w:r>
          </w:p>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制作数量</w:t>
            </w:r>
          </w:p>
        </w:tc>
        <w:tc>
          <w:tcPr>
            <w:tcW w:w="1325"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本年新</w:t>
            </w:r>
          </w:p>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公开数量</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对外公开总数量</w:t>
            </w:r>
          </w:p>
        </w:tc>
      </w:tr>
      <w:tr>
        <w:tblPrEx>
          <w:tblCellMar>
            <w:top w:w="0" w:type="dxa"/>
            <w:left w:w="0" w:type="dxa"/>
            <w:bottom w:w="0" w:type="dxa"/>
            <w:right w:w="0" w:type="dxa"/>
          </w:tblCellMar>
        </w:tblPrEx>
        <w:trPr>
          <w:trHeight w:val="9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规章</w:t>
            </w:r>
          </w:p>
        </w:tc>
        <w:tc>
          <w:tcPr>
            <w:tcW w:w="1953"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325"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规范性文件</w:t>
            </w:r>
          </w:p>
        </w:tc>
        <w:tc>
          <w:tcPr>
            <w:tcW w:w="1953"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325"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r>
      <w:tr>
        <w:tblPrEx>
          <w:tblCellMar>
            <w:top w:w="0" w:type="dxa"/>
            <w:left w:w="0" w:type="dxa"/>
            <w:bottom w:w="0" w:type="dxa"/>
            <w:right w:w="0" w:type="dxa"/>
          </w:tblCellMar>
        </w:tblPrEx>
        <w:trPr>
          <w:trHeight w:val="420" w:hRule="atLeast"/>
          <w:jc w:val="center"/>
        </w:trPr>
        <w:tc>
          <w:tcPr>
            <w:tcW w:w="8657"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第二十条第（五）项</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信息内容</w:t>
            </w:r>
          </w:p>
        </w:tc>
        <w:tc>
          <w:tcPr>
            <w:tcW w:w="195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上一年项目数量</w:t>
            </w:r>
          </w:p>
        </w:tc>
        <w:tc>
          <w:tcPr>
            <w:tcW w:w="1325"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本年增/减</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处理决定数量</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行政许可</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70</w:t>
            </w:r>
          </w:p>
        </w:tc>
        <w:tc>
          <w:tcPr>
            <w:tcW w:w="1318"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8720</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其他对外管理服务事项</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318"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r>
      <w:tr>
        <w:tblPrEx>
          <w:tblCellMar>
            <w:top w:w="0" w:type="dxa"/>
            <w:left w:w="0" w:type="dxa"/>
            <w:bottom w:w="0" w:type="dxa"/>
            <w:right w:w="0" w:type="dxa"/>
          </w:tblCellMar>
        </w:tblPrEx>
        <w:trPr>
          <w:trHeight w:val="420" w:hRule="atLeast"/>
          <w:jc w:val="center"/>
        </w:trPr>
        <w:tc>
          <w:tcPr>
            <w:tcW w:w="8657"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第二十条第（六）项</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信息内容</w:t>
            </w:r>
          </w:p>
        </w:tc>
        <w:tc>
          <w:tcPr>
            <w:tcW w:w="195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上一年项目数量</w:t>
            </w:r>
          </w:p>
        </w:tc>
        <w:tc>
          <w:tcPr>
            <w:tcW w:w="1325"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本年增/减</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处理决定数量</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行政处罚</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169</w:t>
            </w:r>
          </w:p>
        </w:tc>
        <w:tc>
          <w:tcPr>
            <w:tcW w:w="1318"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108</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行政强制</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w:t>
            </w:r>
          </w:p>
        </w:tc>
        <w:tc>
          <w:tcPr>
            <w:tcW w:w="1318"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+3</w:t>
            </w:r>
          </w:p>
        </w:tc>
        <w:tc>
          <w:tcPr>
            <w:tcW w:w="1960" w:type="dxa"/>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6</w:t>
            </w:r>
          </w:p>
        </w:tc>
      </w:tr>
      <w:tr>
        <w:tblPrEx>
          <w:tblCellMar>
            <w:top w:w="0" w:type="dxa"/>
            <w:left w:w="0" w:type="dxa"/>
            <w:bottom w:w="0" w:type="dxa"/>
            <w:right w:w="0" w:type="dxa"/>
          </w:tblCellMar>
        </w:tblPrEx>
        <w:trPr>
          <w:trHeight w:val="420" w:hRule="atLeast"/>
          <w:jc w:val="center"/>
        </w:trPr>
        <w:tc>
          <w:tcPr>
            <w:tcW w:w="8657"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第二十条第（八）项</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信息内容</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上一年项目数量</w:t>
            </w:r>
          </w:p>
        </w:tc>
        <w:tc>
          <w:tcPr>
            <w:tcW w:w="3278"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本年增/减</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行政事业性收费</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3278" w:type="dxa"/>
            <w:gridSpan w:val="2"/>
            <w:tcBorders>
              <w:top w:val="nil"/>
              <w:left w:val="nil"/>
              <w:bottom w:val="single" w:color="auto" w:sz="8" w:space="0"/>
              <w:right w:val="single" w:color="000000"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r>
      <w:tr>
        <w:tblPrEx>
          <w:tblCellMar>
            <w:top w:w="0" w:type="dxa"/>
            <w:left w:w="0" w:type="dxa"/>
            <w:bottom w:w="0" w:type="dxa"/>
            <w:right w:w="0" w:type="dxa"/>
          </w:tblCellMar>
        </w:tblPrEx>
        <w:trPr>
          <w:trHeight w:val="420" w:hRule="atLeast"/>
          <w:jc w:val="center"/>
        </w:trPr>
        <w:tc>
          <w:tcPr>
            <w:tcW w:w="8657"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第二十条第（九）项</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信息内容</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采购项目数量</w:t>
            </w:r>
          </w:p>
        </w:tc>
        <w:tc>
          <w:tcPr>
            <w:tcW w:w="3278"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采购总金额</w:t>
            </w:r>
          </w:p>
        </w:tc>
      </w:tr>
      <w:tr>
        <w:tblPrEx>
          <w:tblCellMar>
            <w:top w:w="0" w:type="dxa"/>
            <w:left w:w="0" w:type="dxa"/>
            <w:bottom w:w="0" w:type="dxa"/>
            <w:right w:w="0" w:type="dxa"/>
          </w:tblCellMar>
        </w:tblPrEx>
        <w:trPr>
          <w:trHeight w:val="420" w:hRule="atLeast"/>
          <w:jc w:val="center"/>
        </w:trPr>
        <w:tc>
          <w:tcPr>
            <w:tcW w:w="341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政府集中采购</w:t>
            </w:r>
          </w:p>
        </w:tc>
        <w:tc>
          <w:tcPr>
            <w:tcW w:w="1960"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w:t>
            </w:r>
          </w:p>
        </w:tc>
        <w:tc>
          <w:tcPr>
            <w:tcW w:w="3278" w:type="dxa"/>
            <w:gridSpan w:val="2"/>
            <w:tcBorders>
              <w:top w:val="nil"/>
              <w:left w:val="nil"/>
              <w:bottom w:val="single" w:color="auto" w:sz="8" w:space="0"/>
              <w:right w:val="single" w:color="000000" w:sz="8" w:space="0"/>
            </w:tcBorders>
            <w:noWrap/>
            <w:tcMar>
              <w:left w:w="108" w:type="dxa"/>
              <w:right w:w="108" w:type="dxa"/>
            </w:tcMar>
            <w:vAlign w:val="center"/>
          </w:tcPr>
          <w:p>
            <w:pPr>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收到和处理政府信息公开申请情况</w:t>
      </w:r>
    </w:p>
    <w:tbl>
      <w:tblPr>
        <w:tblStyle w:val="5"/>
        <w:tblW w:w="95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7"/>
        <w:gridCol w:w="2506"/>
        <w:gridCol w:w="816"/>
        <w:gridCol w:w="758"/>
        <w:gridCol w:w="758"/>
        <w:gridCol w:w="816"/>
        <w:gridCol w:w="976"/>
        <w:gridCol w:w="713"/>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（本列数据的勾稽关系为：</w:t>
            </w:r>
          </w:p>
          <w:p>
            <w:pPr>
              <w:widowControl/>
              <w:spacing w:line="30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第一项加第二项之和，等于第三项</w:t>
            </w:r>
          </w:p>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加第四项之和）</w:t>
            </w:r>
          </w:p>
        </w:tc>
        <w:tc>
          <w:tcPr>
            <w:tcW w:w="5534"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自然人</w:t>
            </w:r>
          </w:p>
        </w:tc>
        <w:tc>
          <w:tcPr>
            <w:tcW w:w="40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法人或其他组织</w:t>
            </w:r>
          </w:p>
        </w:tc>
        <w:tc>
          <w:tcPr>
            <w:tcW w:w="6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商业企业</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科研机构</w:t>
            </w:r>
          </w:p>
        </w:tc>
        <w:tc>
          <w:tcPr>
            <w:tcW w:w="81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社会公益组织</w:t>
            </w:r>
          </w:p>
        </w:tc>
        <w:tc>
          <w:tcPr>
            <w:tcW w:w="97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法律服务机构</w:t>
            </w:r>
          </w:p>
        </w:tc>
        <w:tc>
          <w:tcPr>
            <w:tcW w:w="71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其他</w:t>
            </w:r>
          </w:p>
        </w:tc>
        <w:tc>
          <w:tcPr>
            <w:tcW w:w="6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一、本年新收政府信息公开申请数量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tabs>
                <w:tab w:val="center" w:pos="360"/>
                <w:tab w:val="left" w:pos="461"/>
              </w:tabs>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1</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二、上年结转政府信息公开申请数量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三、本年度办理结果</w:t>
            </w: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（一）予以公开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（二）部分公开（区分处理的，只计这一情形，不计其他情形）</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（三）不予公开</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1.属于国家秘密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2.其他法律行政法规禁止公开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3.危及“三安全一稳定”</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4.保护第三方合法权益</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5.属于三类内部事务信息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6.属于四类过程性信息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7.属于行政执法案卷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8.属于行政查询事项</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（四）无法提供</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1.本机关不掌握相关政府信息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2.没有现成信息需要另行制作</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3.补正后申请内容仍不明确</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（五）不予处理</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1.信访举报投诉类申请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2.重复申请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3.要求提供公开出版物</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4.无正当理由大量反复申请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5.要求行政机关确认或重新出具已获取信息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857" w:type="dxa"/>
            <w:vMerge w:val="restart"/>
            <w:tcBorders>
              <w:top w:val="nil"/>
              <w:left w:val="nil"/>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（六）其他处理</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1.申请人无正当理由逾期不补正、行政机关不再处理其政府信息公开申请</w:t>
            </w:r>
          </w:p>
        </w:tc>
        <w:tc>
          <w:tcPr>
            <w:tcW w:w="816"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1</w:t>
            </w:r>
          </w:p>
        </w:tc>
        <w:tc>
          <w:tcPr>
            <w:tcW w:w="758"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pPr>
          </w:p>
        </w:tc>
        <w:tc>
          <w:tcPr>
            <w:tcW w:w="857" w:type="dxa"/>
            <w:vMerge w:val="continue"/>
            <w:tcBorders>
              <w:left w:val="nil"/>
              <w:right w:val="single" w:color="auto" w:sz="8" w:space="0"/>
            </w:tcBorders>
            <w:noWrap w:val="0"/>
            <w:tcMar>
              <w:left w:w="108" w:type="dxa"/>
              <w:right w:w="108" w:type="dxa"/>
            </w:tcMar>
            <w:vAlign w:val="center"/>
          </w:tcPr>
          <w:p>
            <w:pPr>
              <w:widowControl/>
              <w:spacing w:line="300" w:lineRule="exact"/>
              <w:jc w:val="left"/>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2.申请人逾期未按收费通知要求缴纳费用、行政机关不再处理其政府信息公开申请</w:t>
            </w:r>
          </w:p>
        </w:tc>
        <w:tc>
          <w:tcPr>
            <w:tcW w:w="816"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58"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58"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816"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976"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13" w:type="dxa"/>
            <w:tcBorders>
              <w:left w:val="nil"/>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697" w:type="dxa"/>
            <w:tcBorders>
              <w:left w:val="nil"/>
              <w:right w:val="single" w:color="auto" w:sz="8" w:space="0"/>
            </w:tcBorders>
            <w:noWrap w:val="0"/>
            <w:tcMar>
              <w:left w:w="108" w:type="dxa"/>
              <w:right w:w="108" w:type="dxa"/>
            </w:tcMar>
            <w:vAlign w:val="center"/>
          </w:tcPr>
          <w:p>
            <w:pPr>
              <w:widowControl/>
              <w:spacing w:line="300" w:lineRule="exact"/>
              <w:jc w:val="center"/>
              <w:rPr>
                <w:rFonts w:hint="eastAsia"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kern w:val="2"/>
                <w:sz w:val="24"/>
                <w:szCs w:val="24"/>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 w:hRule="atLeast"/>
          <w:jc w:val="center"/>
        </w:trPr>
        <w:tc>
          <w:tcPr>
            <w:tcW w:w="618"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kern w:val="0"/>
                <w:sz w:val="24"/>
                <w:szCs w:val="24"/>
              </w:rPr>
            </w:pPr>
          </w:p>
        </w:tc>
        <w:tc>
          <w:tcPr>
            <w:tcW w:w="857" w:type="dxa"/>
            <w:vMerge w:val="continue"/>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kern w:val="0"/>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3.其他</w:t>
            </w:r>
          </w:p>
        </w:tc>
        <w:tc>
          <w:tcPr>
            <w:tcW w:w="816"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58"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58"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816"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976"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713"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c>
          <w:tcPr>
            <w:tcW w:w="697" w:type="dxa"/>
            <w:tcBorders>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 w:cs="Times New Roman"/>
                <w:color w:val="auto"/>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（七）总计</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四、结转下年度继续办理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val="en-US" w:eastAsia="zh-CN"/>
              </w:rPr>
              <w:t>0</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0"/>
                <w:sz w:val="24"/>
                <w:szCs w:val="24"/>
                <w:lang w:val="en-US" w:eastAsia="zh-CN"/>
              </w:rPr>
              <w:t>0</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ascii="Times New Roman" w:hAnsi="Times New Roman" w:eastAsia="黑体" w:cs="Times New Roman"/>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政府信息公开行政复议、行政诉讼情况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_GB2312" w:cs="Times New Roman"/>
                <w:color w:val="auto"/>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_GB2312"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_GB2312"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_GB2312" w:cs="Times New Roman"/>
                <w:color w:val="auto"/>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hint="default" w:ascii="Times New Roman" w:hAnsi="Times New Roman" w:eastAsia="仿宋_GB2312" w:cs="Times New Roman"/>
                <w:color w:val="auto"/>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主要存在问题</w:t>
      </w:r>
    </w:p>
    <w:p>
      <w:pPr>
        <w:widowControl/>
        <w:ind w:firstLine="640" w:firstLineChars="200"/>
        <w:jc w:val="left"/>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目前在政务信息方面工作上，我局虽然按照要求完成了推进，但仍然存在一些不足和差距，如与省市信息对接不足、“接地气”的公开内容较少等问题。如何结合部门实际，让信息公开更加迅速畅通、贴近生活、及时到位等方面都需要进一步提升。</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2022年</w:t>
      </w:r>
      <w:r>
        <w:rPr>
          <w:rFonts w:hint="default" w:ascii="Times New Roman" w:hAnsi="Times New Roman" w:eastAsia="黑体" w:cs="Times New Roman"/>
          <w:sz w:val="32"/>
          <w:szCs w:val="32"/>
        </w:rPr>
        <w:t>政务公开</w:t>
      </w:r>
      <w:r>
        <w:rPr>
          <w:rFonts w:hint="default" w:ascii="Times New Roman" w:hAnsi="Times New Roman" w:eastAsia="黑体" w:cs="Times New Roman"/>
          <w:sz w:val="32"/>
          <w:szCs w:val="32"/>
          <w:lang w:val="en-US" w:eastAsia="zh-CN"/>
        </w:rPr>
        <w:t>主要</w:t>
      </w:r>
      <w:r>
        <w:rPr>
          <w:rFonts w:hint="default" w:ascii="Times New Roman" w:hAnsi="Times New Roman" w:eastAsia="黑体" w:cs="Times New Roman"/>
          <w:sz w:val="32"/>
          <w:szCs w:val="32"/>
        </w:rPr>
        <w:t>工作</w:t>
      </w:r>
      <w:r>
        <w:rPr>
          <w:rFonts w:hint="default" w:ascii="Times New Roman" w:hAnsi="Times New Roman" w:eastAsia="黑体" w:cs="Times New Roman"/>
          <w:sz w:val="32"/>
          <w:szCs w:val="32"/>
          <w:lang w:eastAsia="zh-CN"/>
        </w:rPr>
        <w:t>思路</w:t>
      </w:r>
    </w:p>
    <w:p>
      <w:pPr>
        <w:widowControl/>
        <w:ind w:firstLine="640" w:firstLineChars="200"/>
        <w:jc w:val="left"/>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2022年，我局将结合部门职责，强化处室协同，针对渔业安全攻坚、现代渔业发展、口岸扩大开放验收、融入全省海港一体化等重点领域，</w:t>
      </w:r>
      <w:r>
        <w:rPr>
          <w:rFonts w:hint="default" w:ascii="Times New Roman" w:hAnsi="Times New Roman" w:eastAsia="仿宋_GB2312" w:cs="Times New Roman"/>
          <w:sz w:val="32"/>
          <w:szCs w:val="32"/>
          <w:lang w:eastAsia="zh-CN"/>
        </w:rPr>
        <w:t>全力推动</w:t>
      </w:r>
      <w:r>
        <w:rPr>
          <w:rFonts w:hint="default" w:ascii="Times New Roman" w:hAnsi="Times New Roman" w:eastAsia="仿宋_GB2312" w:cs="Times New Roman"/>
          <w:sz w:val="32"/>
          <w:szCs w:val="32"/>
        </w:rPr>
        <w:t>政务公开提质增效，</w:t>
      </w:r>
      <w:r>
        <w:rPr>
          <w:rFonts w:hint="default" w:ascii="Times New Roman" w:hAnsi="Times New Roman" w:eastAsia="仿宋_GB2312" w:cs="Times New Roman"/>
          <w:sz w:val="32"/>
          <w:szCs w:val="32"/>
          <w:lang w:eastAsia="zh-CN"/>
        </w:rPr>
        <w:t>切实</w:t>
      </w:r>
      <w:r>
        <w:rPr>
          <w:rFonts w:hint="default" w:ascii="Times New Roman" w:hAnsi="Times New Roman" w:eastAsia="仿宋_GB2312" w:cs="Times New Roman"/>
          <w:sz w:val="32"/>
          <w:szCs w:val="32"/>
        </w:rPr>
        <w:t>增强解读回应，</w:t>
      </w:r>
      <w:r>
        <w:rPr>
          <w:rFonts w:hint="default" w:ascii="Times New Roman" w:hAnsi="Times New Roman" w:eastAsia="仿宋_GB2312" w:cs="Times New Roman"/>
          <w:sz w:val="32"/>
          <w:szCs w:val="32"/>
          <w:lang w:eastAsia="zh-CN"/>
        </w:rPr>
        <w:t>积极助推港航口岸渔业事业高质量发展</w:t>
      </w:r>
      <w:r>
        <w:rPr>
          <w:rFonts w:hint="default" w:ascii="Times New Roman" w:hAnsi="Times New Roman" w:eastAsia="仿宋_GB2312" w:cs="Times New Roman"/>
          <w:sz w:val="32"/>
          <w:szCs w:val="32"/>
        </w:rPr>
        <w:t>。</w:t>
      </w:r>
    </w:p>
    <w:p>
      <w:pPr>
        <w:widowControl/>
        <w:ind w:firstLine="640" w:firstLineChars="200"/>
        <w:jc w:val="left"/>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eastAsia="zh-CN" w:bidi="ar"/>
        </w:rPr>
        <w:t>（一）</w:t>
      </w:r>
      <w:r>
        <w:rPr>
          <w:rFonts w:hint="default" w:ascii="Times New Roman" w:hAnsi="Times New Roman" w:eastAsia="楷体_GB2312" w:cs="Times New Roman"/>
          <w:sz w:val="32"/>
          <w:szCs w:val="32"/>
          <w:lang w:bidi="ar"/>
        </w:rPr>
        <w:t>加强日常维护。</w:t>
      </w:r>
      <w:r>
        <w:rPr>
          <w:rFonts w:hint="default" w:ascii="Times New Roman" w:hAnsi="Times New Roman" w:eastAsia="仿宋_GB2312" w:cs="Times New Roman"/>
          <w:sz w:val="32"/>
          <w:szCs w:val="32"/>
          <w:lang w:bidi="ar"/>
        </w:rPr>
        <w:t>定期处理过期信息、作废信息，积极响应政务公开的要求，</w:t>
      </w:r>
      <w:r>
        <w:rPr>
          <w:rFonts w:hint="default" w:ascii="Times New Roman" w:hAnsi="Times New Roman" w:eastAsia="仿宋_GB2312" w:cs="Times New Roman"/>
          <w:sz w:val="32"/>
          <w:szCs w:val="32"/>
          <w:lang w:val="en-US" w:eastAsia="zh-CN" w:bidi="ar"/>
        </w:rPr>
        <w:t>及时上传公开各项文件，</w:t>
      </w:r>
      <w:r>
        <w:rPr>
          <w:rFonts w:hint="default" w:ascii="Times New Roman" w:hAnsi="Times New Roman" w:eastAsia="仿宋_GB2312" w:cs="Times New Roman"/>
          <w:sz w:val="32"/>
          <w:szCs w:val="32"/>
          <w:lang w:bidi="ar"/>
        </w:rPr>
        <w:t>规范推进信息公开。</w:t>
      </w:r>
    </w:p>
    <w:p>
      <w:pPr>
        <w:widowControl/>
        <w:ind w:firstLine="640" w:firstLineChars="200"/>
        <w:jc w:val="left"/>
        <w:rPr>
          <w:rFonts w:hint="default" w:ascii="Times New Roman" w:hAnsi="Times New Roman" w:eastAsia="仿宋_GB2312" w:cs="Times New Roman"/>
          <w:sz w:val="32"/>
          <w:szCs w:val="32"/>
          <w:lang w:val="en-US" w:eastAsia="zh-CN" w:bidi="ar"/>
        </w:rPr>
      </w:pPr>
      <w:r>
        <w:rPr>
          <w:rFonts w:hint="default" w:ascii="Times New Roman" w:hAnsi="Times New Roman" w:eastAsia="楷体_GB2312" w:cs="Times New Roman"/>
          <w:sz w:val="32"/>
          <w:szCs w:val="32"/>
          <w:lang w:eastAsia="zh-CN" w:bidi="ar"/>
        </w:rPr>
        <w:t>（二）</w:t>
      </w:r>
      <w:r>
        <w:rPr>
          <w:rFonts w:hint="default" w:ascii="Times New Roman" w:hAnsi="Times New Roman" w:eastAsia="楷体_GB2312" w:cs="Times New Roman"/>
          <w:sz w:val="32"/>
          <w:szCs w:val="32"/>
          <w:lang w:bidi="ar"/>
        </w:rPr>
        <w:t>加强信息对接。</w:t>
      </w:r>
      <w:r>
        <w:rPr>
          <w:rFonts w:hint="default" w:ascii="Times New Roman" w:hAnsi="Times New Roman" w:eastAsia="仿宋_GB2312" w:cs="Times New Roman"/>
          <w:sz w:val="32"/>
          <w:szCs w:val="32"/>
          <w:lang w:bidi="ar"/>
        </w:rPr>
        <w:t>根据政务公开新要求，定期开展政务信息公开培训，</w:t>
      </w:r>
      <w:r>
        <w:rPr>
          <w:rFonts w:hint="default" w:ascii="Times New Roman" w:hAnsi="Times New Roman" w:eastAsia="仿宋_GB2312" w:cs="Times New Roman"/>
          <w:sz w:val="32"/>
          <w:szCs w:val="32"/>
          <w:lang w:eastAsia="zh-CN" w:bidi="ar"/>
        </w:rPr>
        <w:t>加强</w:t>
      </w:r>
      <w:r>
        <w:rPr>
          <w:rFonts w:hint="default" w:ascii="Times New Roman" w:hAnsi="Times New Roman" w:eastAsia="仿宋_GB2312" w:cs="Times New Roman"/>
          <w:sz w:val="32"/>
          <w:szCs w:val="32"/>
          <w:lang w:bidi="ar"/>
        </w:rPr>
        <w:t>与省市部门</w:t>
      </w:r>
      <w:r>
        <w:rPr>
          <w:rFonts w:hint="default" w:ascii="Times New Roman" w:hAnsi="Times New Roman" w:eastAsia="仿宋_GB2312" w:cs="Times New Roman"/>
          <w:sz w:val="32"/>
          <w:szCs w:val="32"/>
          <w:lang w:eastAsia="zh-CN" w:bidi="ar"/>
        </w:rPr>
        <w:t>的协调</w:t>
      </w:r>
      <w:r>
        <w:rPr>
          <w:rFonts w:hint="default" w:ascii="Times New Roman" w:hAnsi="Times New Roman" w:eastAsia="仿宋_GB2312" w:cs="Times New Roman"/>
          <w:sz w:val="32"/>
          <w:szCs w:val="32"/>
          <w:lang w:bidi="ar"/>
        </w:rPr>
        <w:t>对接，提升政府信息公开</w:t>
      </w:r>
      <w:r>
        <w:rPr>
          <w:rFonts w:hint="default" w:ascii="Times New Roman" w:hAnsi="Times New Roman" w:eastAsia="仿宋_GB2312" w:cs="Times New Roman"/>
          <w:sz w:val="32"/>
          <w:szCs w:val="32"/>
          <w:lang w:eastAsia="zh-CN" w:bidi="ar"/>
        </w:rPr>
        <w:t>标准化、规范化</w:t>
      </w:r>
      <w:bookmarkStart w:id="0" w:name="_GoBack"/>
      <w:bookmarkEnd w:id="0"/>
      <w:r>
        <w:rPr>
          <w:rFonts w:hint="default" w:ascii="Times New Roman" w:hAnsi="Times New Roman" w:eastAsia="仿宋_GB2312" w:cs="Times New Roman"/>
          <w:sz w:val="32"/>
          <w:szCs w:val="32"/>
          <w:lang w:bidi="ar"/>
        </w:rPr>
        <w:t>水平</w:t>
      </w:r>
      <w:r>
        <w:rPr>
          <w:rFonts w:hint="default" w:ascii="Times New Roman" w:hAnsi="Times New Roman" w:eastAsia="仿宋_GB2312" w:cs="Times New Roman"/>
          <w:sz w:val="32"/>
          <w:szCs w:val="32"/>
          <w:lang w:eastAsia="zh-CN" w:bidi="ar"/>
        </w:rPr>
        <w:t>。</w:t>
      </w:r>
    </w:p>
    <w:p>
      <w:pPr>
        <w:widowControl/>
        <w:ind w:firstLine="640" w:firstLineChars="200"/>
        <w:jc w:val="left"/>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eastAsia="zh-CN" w:bidi="ar"/>
        </w:rPr>
        <w:t>（三）</w:t>
      </w:r>
      <w:r>
        <w:rPr>
          <w:rFonts w:hint="default" w:ascii="Times New Roman" w:hAnsi="Times New Roman" w:eastAsia="楷体_GB2312" w:cs="Times New Roman"/>
          <w:sz w:val="32"/>
          <w:szCs w:val="32"/>
          <w:lang w:bidi="ar"/>
        </w:rPr>
        <w:t>加强公开宣传。</w:t>
      </w:r>
      <w:r>
        <w:rPr>
          <w:rFonts w:hint="default" w:ascii="Times New Roman" w:hAnsi="Times New Roman" w:eastAsia="仿宋_GB2312" w:cs="Times New Roman"/>
          <w:sz w:val="32"/>
          <w:szCs w:val="32"/>
          <w:lang w:bidi="ar"/>
        </w:rPr>
        <w:t>定期总结特色工作，将</w:t>
      </w:r>
      <w:r>
        <w:rPr>
          <w:rFonts w:hint="default" w:ascii="Times New Roman" w:hAnsi="Times New Roman" w:eastAsia="仿宋_GB2312" w:cs="Times New Roman"/>
          <w:sz w:val="32"/>
          <w:szCs w:val="32"/>
          <w:lang w:eastAsia="zh-CN" w:bidi="ar"/>
        </w:rPr>
        <w:t>港航口岸渔业事业的主要</w:t>
      </w:r>
      <w:r>
        <w:rPr>
          <w:rFonts w:hint="default" w:ascii="Times New Roman" w:hAnsi="Times New Roman" w:eastAsia="仿宋_GB2312" w:cs="Times New Roman"/>
          <w:sz w:val="32"/>
          <w:szCs w:val="32"/>
          <w:lang w:bidi="ar"/>
        </w:rPr>
        <w:t>成果、</w:t>
      </w:r>
      <w:r>
        <w:rPr>
          <w:rFonts w:hint="default" w:ascii="Times New Roman" w:hAnsi="Times New Roman" w:eastAsia="仿宋_GB2312" w:cs="Times New Roman"/>
          <w:sz w:val="32"/>
          <w:szCs w:val="32"/>
          <w:lang w:eastAsia="zh-CN" w:bidi="ar"/>
        </w:rPr>
        <w:t>特色</w:t>
      </w:r>
      <w:r>
        <w:rPr>
          <w:rFonts w:hint="default" w:ascii="Times New Roman" w:hAnsi="Times New Roman" w:eastAsia="仿宋_GB2312" w:cs="Times New Roman"/>
          <w:sz w:val="32"/>
          <w:szCs w:val="32"/>
          <w:lang w:bidi="ar"/>
        </w:rPr>
        <w:t>亮点</w:t>
      </w:r>
      <w:r>
        <w:rPr>
          <w:rFonts w:hint="eastAsia" w:ascii="Times New Roman" w:hAnsi="Times New Roman" w:eastAsia="仿宋_GB2312" w:cs="Times New Roman"/>
          <w:sz w:val="32"/>
          <w:szCs w:val="32"/>
          <w:lang w:eastAsia="zh-CN" w:bidi="ar"/>
        </w:rPr>
        <w:t>及海港口岸疫情防控信息，</w:t>
      </w:r>
      <w:r>
        <w:rPr>
          <w:rFonts w:hint="default" w:ascii="Times New Roman" w:hAnsi="Times New Roman" w:eastAsia="仿宋_GB2312" w:cs="Times New Roman"/>
          <w:sz w:val="32"/>
          <w:szCs w:val="32"/>
          <w:lang w:bidi="ar"/>
        </w:rPr>
        <w:t>多渠道开展宣传，</w:t>
      </w:r>
      <w:r>
        <w:rPr>
          <w:rFonts w:hint="default" w:ascii="Times New Roman" w:hAnsi="Times New Roman" w:eastAsia="仿宋_GB2312" w:cs="Times New Roman"/>
          <w:sz w:val="32"/>
          <w:szCs w:val="32"/>
          <w:lang w:eastAsia="zh-CN" w:bidi="ar"/>
        </w:rPr>
        <w:t>进一步</w:t>
      </w:r>
      <w:r>
        <w:rPr>
          <w:rFonts w:hint="default" w:ascii="Times New Roman" w:hAnsi="Times New Roman" w:eastAsia="仿宋_GB2312" w:cs="Times New Roman"/>
          <w:sz w:val="32"/>
          <w:szCs w:val="32"/>
          <w:lang w:bidi="ar"/>
        </w:rPr>
        <w:t>提高社会关注度</w:t>
      </w:r>
      <w:r>
        <w:rPr>
          <w:rFonts w:hint="default" w:ascii="Times New Roman" w:hAnsi="Times New Roman" w:eastAsia="仿宋_GB2312" w:cs="Times New Roman"/>
          <w:sz w:val="32"/>
          <w:szCs w:val="32"/>
          <w:lang w:eastAsia="zh-CN" w:bidi="ar"/>
        </w:rPr>
        <w:t>和影响力</w:t>
      </w:r>
      <w:r>
        <w:rPr>
          <w:rFonts w:hint="default" w:ascii="Times New Roman" w:hAnsi="Times New Roman" w:eastAsia="仿宋_GB2312" w:cs="Times New Roman"/>
          <w:sz w:val="32"/>
          <w:szCs w:val="32"/>
          <w:lang w:bidi="ar"/>
        </w:rPr>
        <w:t>。</w:t>
      </w:r>
    </w:p>
    <w:p>
      <w:pPr>
        <w:widowControl/>
        <w:ind w:firstLine="640" w:firstLineChars="200"/>
        <w:jc w:val="left"/>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eastAsia="zh-CN" w:bidi="ar"/>
        </w:rPr>
        <w:t>（四）</w:t>
      </w:r>
      <w:r>
        <w:rPr>
          <w:rFonts w:hint="default" w:ascii="Times New Roman" w:hAnsi="Times New Roman" w:eastAsia="楷体_GB2312" w:cs="Times New Roman"/>
          <w:sz w:val="32"/>
          <w:szCs w:val="32"/>
          <w:lang w:bidi="ar"/>
        </w:rPr>
        <w:t>加强回应关切。</w:t>
      </w:r>
      <w:r>
        <w:rPr>
          <w:rFonts w:hint="default" w:ascii="Times New Roman" w:hAnsi="Times New Roman" w:eastAsia="仿宋_GB2312" w:cs="Times New Roman"/>
          <w:sz w:val="32"/>
          <w:szCs w:val="32"/>
          <w:lang w:bidi="ar"/>
        </w:rPr>
        <w:t>以门户网站、公众号等媒介拓宽群众信息交互方式，</w:t>
      </w:r>
      <w:r>
        <w:rPr>
          <w:rFonts w:hint="default" w:ascii="Times New Roman" w:hAnsi="Times New Roman" w:eastAsia="仿宋_GB2312" w:cs="Times New Roman"/>
          <w:sz w:val="32"/>
          <w:szCs w:val="32"/>
          <w:lang w:eastAsia="zh-CN" w:bidi="ar"/>
        </w:rPr>
        <w:t>精准做好政策解读，</w:t>
      </w:r>
      <w:r>
        <w:rPr>
          <w:rFonts w:hint="default" w:ascii="Times New Roman" w:hAnsi="Times New Roman" w:eastAsia="仿宋_GB2312" w:cs="Times New Roman"/>
          <w:sz w:val="32"/>
          <w:szCs w:val="32"/>
          <w:lang w:bidi="ar"/>
        </w:rPr>
        <w:t>研判分析重点热点问题，及时主动做出回应。</w:t>
      </w:r>
    </w:p>
    <w:p>
      <w:pPr>
        <w:pStyle w:val="4"/>
        <w:widowControl/>
        <w:spacing w:before="0" w:beforeAutospacing="0" w:after="0" w:afterAutospacing="0" w:line="600"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无</w:t>
      </w:r>
      <w:r>
        <w:rPr>
          <w:rFonts w:hint="default" w:ascii="Times New Roman" w:hAnsi="Times New Roman" w:eastAsia="黑体" w:cs="Times New Roman"/>
          <w:color w:val="auto"/>
          <w:sz w:val="32"/>
          <w:szCs w:val="32"/>
        </w:rPr>
        <w:t>其他需要报告的事项</w:t>
      </w:r>
    </w:p>
    <w:p>
      <w:pPr>
        <w:pStyle w:val="4"/>
        <w:widowControl/>
        <w:spacing w:before="0" w:beforeAutospacing="0" w:after="0" w:afterAutospacing="0" w:line="600" w:lineRule="exact"/>
        <w:ind w:firstLine="640" w:firstLineChars="200"/>
        <w:jc w:val="both"/>
        <w:rPr>
          <w:rFonts w:hint="default" w:ascii="Times New Roman" w:hAnsi="Times New Roman" w:eastAsia="黑体" w:cs="Times New Roman"/>
          <w:color w:val="auto"/>
          <w:sz w:val="32"/>
          <w:szCs w:val="32"/>
        </w:rPr>
      </w:pPr>
    </w:p>
    <w:p>
      <w:pPr>
        <w:pStyle w:val="4"/>
        <w:widowControl/>
        <w:spacing w:before="0" w:beforeAutospacing="0" w:after="0" w:afterAutospacing="0" w:line="600" w:lineRule="exact"/>
        <w:ind w:firstLine="640" w:firstLineChars="200"/>
        <w:jc w:val="both"/>
        <w:rPr>
          <w:rFonts w:hint="default" w:ascii="Times New Roman" w:hAnsi="Times New Roman" w:eastAsia="黑体" w:cs="Times New Roman"/>
          <w:color w:val="auto"/>
          <w:sz w:val="32"/>
          <w:szCs w:val="32"/>
        </w:rPr>
      </w:pPr>
    </w:p>
    <w:p>
      <w:pPr>
        <w:pStyle w:val="4"/>
        <w:widowControl/>
        <w:spacing w:before="0" w:beforeAutospacing="0" w:after="0" w:afterAutospacing="0" w:line="600" w:lineRule="exact"/>
        <w:ind w:firstLine="640" w:firstLineChars="200"/>
        <w:jc w:val="both"/>
        <w:rPr>
          <w:rFonts w:hint="default" w:ascii="Times New Roman" w:hAnsi="Times New Roman" w:eastAsia="黑体" w:cs="Times New Roman"/>
          <w:color w:val="auto"/>
          <w:sz w:val="32"/>
          <w:szCs w:val="32"/>
        </w:rPr>
      </w:pPr>
    </w:p>
    <w:p>
      <w:pPr>
        <w:spacing w:line="600" w:lineRule="exact"/>
        <w:ind w:firstLine="64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台州市港航口岸和渔业管理局</w:t>
      </w:r>
    </w:p>
    <w:p>
      <w:pPr>
        <w:spacing w:line="600" w:lineRule="exact"/>
        <w:ind w:firstLine="5120" w:firstLineChars="16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2022年1月19日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lang w:val="en-US" w:eastAsia="zh-CN"/>
        </w:rPr>
      </w:pPr>
    </w:p>
    <w:p>
      <w:pPr>
        <w:rPr>
          <w:rFonts w:hint="default" w:ascii="Times New Roman" w:hAnsi="Times New Roman" w:eastAsia="仿宋_GB2312" w:cs="Times New Roman"/>
          <w:sz w:val="32"/>
          <w:szCs w:val="32"/>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9"/>
    <w:rsid w:val="001472CF"/>
    <w:rsid w:val="001968A2"/>
    <w:rsid w:val="001C0D43"/>
    <w:rsid w:val="00243B7D"/>
    <w:rsid w:val="003552B6"/>
    <w:rsid w:val="004560E8"/>
    <w:rsid w:val="00475117"/>
    <w:rsid w:val="005E5B7D"/>
    <w:rsid w:val="006D1810"/>
    <w:rsid w:val="00856380"/>
    <w:rsid w:val="00986DFC"/>
    <w:rsid w:val="00B330E8"/>
    <w:rsid w:val="00B50CC9"/>
    <w:rsid w:val="00BA7296"/>
    <w:rsid w:val="00C1591A"/>
    <w:rsid w:val="00CB79EC"/>
    <w:rsid w:val="00F87441"/>
    <w:rsid w:val="00FF62A2"/>
    <w:rsid w:val="01CC57C0"/>
    <w:rsid w:val="03403A94"/>
    <w:rsid w:val="048B4A81"/>
    <w:rsid w:val="06F563E3"/>
    <w:rsid w:val="07E373E8"/>
    <w:rsid w:val="083C4534"/>
    <w:rsid w:val="145D7565"/>
    <w:rsid w:val="14D55A32"/>
    <w:rsid w:val="15E92D36"/>
    <w:rsid w:val="1A37091A"/>
    <w:rsid w:val="1E42577E"/>
    <w:rsid w:val="1E86331C"/>
    <w:rsid w:val="20513D5C"/>
    <w:rsid w:val="215071CC"/>
    <w:rsid w:val="2199281A"/>
    <w:rsid w:val="28247630"/>
    <w:rsid w:val="2B1A4D1A"/>
    <w:rsid w:val="2BCF06CC"/>
    <w:rsid w:val="2D685351"/>
    <w:rsid w:val="2D80279C"/>
    <w:rsid w:val="30425110"/>
    <w:rsid w:val="33803252"/>
    <w:rsid w:val="33C23B9C"/>
    <w:rsid w:val="33E958B0"/>
    <w:rsid w:val="36930A2D"/>
    <w:rsid w:val="377E2B0E"/>
    <w:rsid w:val="378B083B"/>
    <w:rsid w:val="38AB7CD2"/>
    <w:rsid w:val="3B604A81"/>
    <w:rsid w:val="3CEC1BD5"/>
    <w:rsid w:val="3F942560"/>
    <w:rsid w:val="414D79BB"/>
    <w:rsid w:val="42512ADD"/>
    <w:rsid w:val="440B5CE5"/>
    <w:rsid w:val="4B841D42"/>
    <w:rsid w:val="4C207C17"/>
    <w:rsid w:val="52DA2132"/>
    <w:rsid w:val="55844FCA"/>
    <w:rsid w:val="5B920779"/>
    <w:rsid w:val="60411DC9"/>
    <w:rsid w:val="614E2912"/>
    <w:rsid w:val="62AA537B"/>
    <w:rsid w:val="62EB79F1"/>
    <w:rsid w:val="64B654D9"/>
    <w:rsid w:val="65494BDC"/>
    <w:rsid w:val="667432E6"/>
    <w:rsid w:val="68493714"/>
    <w:rsid w:val="6A096A1C"/>
    <w:rsid w:val="6A2B301D"/>
    <w:rsid w:val="6E6C3E84"/>
    <w:rsid w:val="6FAB01BC"/>
    <w:rsid w:val="70385584"/>
    <w:rsid w:val="75465540"/>
    <w:rsid w:val="786A41B8"/>
    <w:rsid w:val="7C214AC5"/>
    <w:rsid w:val="C3BF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206</Words>
  <Characters>1180</Characters>
  <Lines>9</Lines>
  <Paragraphs>2</Paragraphs>
  <TotalTime>0</TotalTime>
  <ScaleCrop>false</ScaleCrop>
  <LinksUpToDate>false</LinksUpToDate>
  <CharactersWithSpaces>1384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2021-12-07T19:16:00Z</dcterms:created>
  <dc:creator>pc</dc:creator>
  <cp:lastModifiedBy>pc1</cp:lastModifiedBy>
  <dcterms:modified xsi:type="dcterms:W3CDTF">2022-07-27T09:59:43Z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94A4F8965BDB411F88ED32A4C8EC53F2</vt:lpwstr>
  </property>
</Properties>
</file>