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jc w:val="center"/>
        <w:rPr>
          <w:rFonts w:eastAsiaTheme="majorEastAsia" w:cstheme="majorEastAsia"/>
          <w:b/>
          <w:bCs/>
          <w:sz w:val="32"/>
          <w:szCs w:val="32"/>
        </w:rPr>
      </w:pPr>
      <w:bookmarkStart w:id="0" w:name="_Hlk533066311"/>
      <w:bookmarkEnd w:id="0"/>
    </w:p>
    <w:p>
      <w:pPr>
        <w:ind w:firstLine="600"/>
        <w:jc w:val="center"/>
      </w:pPr>
    </w:p>
    <w:p>
      <w:pPr>
        <w:ind w:firstLine="600"/>
      </w:pPr>
    </w:p>
    <w:p>
      <w:pPr>
        <w:ind w:firstLine="600"/>
        <w:jc w:val="center"/>
      </w:pPr>
    </w:p>
    <w:p>
      <w:pPr>
        <w:spacing w:after="124" w:afterLines="40" w:line="360" w:lineRule="auto"/>
        <w:ind w:firstLine="0" w:firstLineChars="0"/>
        <w:jc w:val="center"/>
        <w:rPr>
          <w:rFonts w:ascii="宋体" w:hAnsi="宋体" w:eastAsia="宋体"/>
          <w:b/>
          <w:bCs/>
          <w:sz w:val="52"/>
          <w:szCs w:val="52"/>
        </w:rPr>
      </w:pPr>
      <w:r>
        <w:rPr>
          <w:rFonts w:hint="eastAsia" w:ascii="宋体" w:hAnsi="宋体" w:eastAsia="宋体"/>
          <w:b/>
          <w:bCs/>
          <w:sz w:val="52"/>
          <w:szCs w:val="52"/>
        </w:rPr>
        <w:t>台州市域铁路S</w:t>
      </w:r>
      <w:r>
        <w:rPr>
          <w:rFonts w:ascii="宋体" w:hAnsi="宋体" w:eastAsia="宋体"/>
          <w:b/>
          <w:bCs/>
          <w:sz w:val="52"/>
          <w:szCs w:val="52"/>
        </w:rPr>
        <w:t>1</w:t>
      </w:r>
      <w:r>
        <w:rPr>
          <w:rFonts w:hint="eastAsia" w:ascii="宋体" w:hAnsi="宋体" w:eastAsia="宋体"/>
          <w:b/>
          <w:bCs/>
          <w:sz w:val="52"/>
          <w:szCs w:val="52"/>
        </w:rPr>
        <w:t>线一期P</w:t>
      </w:r>
      <w:r>
        <w:rPr>
          <w:rFonts w:ascii="宋体" w:hAnsi="宋体" w:eastAsia="宋体"/>
          <w:b/>
          <w:bCs/>
          <w:sz w:val="52"/>
          <w:szCs w:val="52"/>
        </w:rPr>
        <w:t>PP</w:t>
      </w:r>
      <w:r>
        <w:rPr>
          <w:rFonts w:hint="eastAsia" w:ascii="宋体" w:hAnsi="宋体" w:eastAsia="宋体"/>
          <w:b/>
          <w:bCs/>
          <w:sz w:val="52"/>
          <w:szCs w:val="52"/>
        </w:rPr>
        <w:t>项目工程</w:t>
      </w:r>
      <w:r>
        <w:rPr>
          <w:rFonts w:hint="eastAsia" w:ascii="宋体" w:hAnsi="宋体" w:eastAsia="宋体"/>
          <w:b/>
          <w:bCs/>
          <w:sz w:val="52"/>
          <w:szCs w:val="52"/>
          <w:lang w:val="en-US" w:eastAsia="zh-CN"/>
        </w:rPr>
        <w:t>小型预制构件</w:t>
      </w:r>
      <w:r>
        <w:rPr>
          <w:rFonts w:hint="eastAsia" w:ascii="宋体" w:hAnsi="宋体" w:eastAsia="宋体"/>
          <w:b/>
          <w:bCs/>
          <w:sz w:val="52"/>
          <w:szCs w:val="52"/>
        </w:rPr>
        <w:t>管理办法</w:t>
      </w:r>
    </w:p>
    <w:p>
      <w:pPr>
        <w:spacing w:after="96" w:afterLines="40" w:line="360" w:lineRule="auto"/>
        <w:jc w:val="center"/>
        <w:rPr>
          <w:rFonts w:asciiTheme="minorEastAsia" w:hAnsiTheme="minorEastAsia"/>
          <w:b/>
          <w:bCs/>
          <w:sz w:val="48"/>
          <w:szCs w:val="48"/>
          <w:lang w:eastAsia="zh-CN"/>
        </w:rPr>
      </w:pPr>
    </w:p>
    <w:p>
      <w:pPr>
        <w:ind w:firstLine="803"/>
        <w:rPr>
          <w:b/>
          <w:bCs/>
          <w:sz w:val="40"/>
          <w:szCs w:val="48"/>
          <w:lang w:eastAsia="zh-CN"/>
        </w:rPr>
      </w:pPr>
    </w:p>
    <w:p>
      <w:pPr>
        <w:ind w:firstLine="600"/>
        <w:rPr>
          <w:b/>
          <w:bCs/>
          <w:sz w:val="40"/>
          <w:szCs w:val="48"/>
          <w:lang w:eastAsia="zh-CN"/>
        </w:rPr>
      </w:pPr>
      <w:bookmarkStart w:id="2" w:name="_GoBack"/>
      <w:r>
        <w:rPr>
          <w:rFonts w:hint="eastAsia" w:eastAsiaTheme="majorEastAsia" w:cstheme="majorEastAsia"/>
          <w:bCs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24130</wp:posOffset>
            </wp:positionV>
            <wp:extent cx="4663440" cy="1790065"/>
            <wp:effectExtent l="0" t="0" r="0" b="0"/>
            <wp:wrapSquare wrapText="bothSides"/>
            <wp:docPr id="2" name="图片 2" descr="封面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封面图标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</w:p>
    <w:p>
      <w:pPr>
        <w:ind w:firstLine="600"/>
        <w:jc w:val="center"/>
        <w:rPr>
          <w:rFonts w:eastAsiaTheme="majorEastAsia" w:cstheme="majorEastAsia"/>
          <w:bCs/>
          <w:szCs w:val="30"/>
          <w:lang w:eastAsia="zh-CN"/>
        </w:rPr>
      </w:pPr>
    </w:p>
    <w:p>
      <w:pPr>
        <w:ind w:firstLine="600"/>
        <w:jc w:val="center"/>
        <w:rPr>
          <w:rFonts w:eastAsiaTheme="majorEastAsia" w:cstheme="majorEastAsia"/>
          <w:bCs/>
          <w:szCs w:val="30"/>
          <w:lang w:eastAsia="zh-CN"/>
        </w:rPr>
      </w:pPr>
    </w:p>
    <w:p>
      <w:pPr>
        <w:rPr>
          <w:rFonts w:eastAsiaTheme="majorEastAsia" w:cstheme="majorEastAsia"/>
          <w:bCs/>
          <w:szCs w:val="30"/>
          <w:lang w:eastAsia="zh-CN"/>
        </w:rPr>
      </w:pPr>
    </w:p>
    <w:p>
      <w:pPr>
        <w:rPr>
          <w:rFonts w:hAnsiTheme="majorEastAsia" w:eastAsiaTheme="majorEastAsia" w:cstheme="majorEastAsia"/>
          <w:bCs/>
          <w:sz w:val="32"/>
          <w:szCs w:val="32"/>
          <w:lang w:eastAsia="zh-CN"/>
        </w:rPr>
      </w:pPr>
    </w:p>
    <w:p>
      <w:pPr>
        <w:rPr>
          <w:rFonts w:hAnsiTheme="majorEastAsia" w:eastAsiaTheme="majorEastAsia" w:cstheme="majorEastAsia"/>
          <w:bCs/>
          <w:sz w:val="32"/>
          <w:szCs w:val="32"/>
          <w:lang w:eastAsia="zh-CN"/>
        </w:rPr>
      </w:pPr>
    </w:p>
    <w:p>
      <w:pPr>
        <w:rPr>
          <w:rFonts w:hAnsiTheme="majorEastAsia" w:eastAsiaTheme="majorEastAsia" w:cstheme="majorEastAsia"/>
          <w:bCs/>
          <w:sz w:val="32"/>
          <w:szCs w:val="32"/>
          <w:lang w:eastAsia="zh-CN"/>
        </w:rPr>
      </w:pPr>
    </w:p>
    <w:p>
      <w:pPr>
        <w:pStyle w:val="2"/>
        <w:ind w:firstLine="600"/>
      </w:pPr>
    </w:p>
    <w:tbl>
      <w:tblPr>
        <w:tblStyle w:val="12"/>
        <w:tblW w:w="756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339"/>
        <w:gridCol w:w="1175"/>
        <w:gridCol w:w="1250"/>
        <w:gridCol w:w="1187"/>
        <w:gridCol w:w="16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br w:type="page"/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版本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制度级别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编制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审核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审批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发布日期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项目二级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吴增金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  <w:t>朱春柏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刘小荣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  <w:t>2019.6.21</w:t>
            </w:r>
          </w:p>
        </w:tc>
      </w:tr>
    </w:tbl>
    <w:p>
      <w:pPr>
        <w:rPr>
          <w:rFonts w:hAnsiTheme="majorEastAsia" w:eastAsiaTheme="majorEastAsia" w:cstheme="majorEastAsia"/>
          <w:bCs/>
          <w:sz w:val="32"/>
          <w:szCs w:val="32"/>
        </w:rPr>
      </w:pPr>
    </w:p>
    <w:p>
      <w:pPr>
        <w:jc w:val="center"/>
        <w:rPr>
          <w:rFonts w:eastAsiaTheme="majorEastAsia" w:cstheme="majorEastAsia"/>
          <w:bCs/>
          <w:sz w:val="32"/>
          <w:szCs w:val="32"/>
          <w:lang w:eastAsia="zh-CN"/>
        </w:rPr>
      </w:pPr>
      <w:r>
        <w:rPr>
          <w:rFonts w:hint="eastAsia" w:hAnsiTheme="majorEastAsia" w:eastAsiaTheme="majorEastAsia" w:cstheme="majorEastAsia"/>
          <w:bCs/>
          <w:sz w:val="32"/>
          <w:szCs w:val="32"/>
          <w:lang w:eastAsia="zh-CN"/>
        </w:rPr>
        <w:t>苏州中车建设工程有限公司</w:t>
      </w:r>
    </w:p>
    <w:p>
      <w:pPr>
        <w:jc w:val="center"/>
        <w:rPr>
          <w:rFonts w:hAnsiTheme="majorEastAsia" w:eastAsiaTheme="majorEastAsia" w:cstheme="majorEastAsia"/>
          <w:bCs/>
          <w:sz w:val="32"/>
          <w:szCs w:val="32"/>
          <w:lang w:eastAsia="zh-CN"/>
        </w:rPr>
      </w:pPr>
      <w:r>
        <w:rPr>
          <w:rFonts w:hint="eastAsia" w:hAnsiTheme="majorEastAsia" w:eastAsiaTheme="majorEastAsia" w:cstheme="majorEastAsia"/>
          <w:bCs/>
          <w:sz w:val="32"/>
          <w:szCs w:val="32"/>
          <w:lang w:eastAsia="zh-CN"/>
        </w:rPr>
        <w:t>台州市域铁路S1线一期PPP项目工程总承包项目部</w:t>
      </w:r>
    </w:p>
    <w:p>
      <w:pPr>
        <w:jc w:val="center"/>
        <w:rPr>
          <w:rFonts w:hint="eastAsia" w:ascii="宋体" w:hAnsi="宋体" w:eastAsia="宋体" w:cs="宋体"/>
          <w:b/>
          <w:bCs/>
          <w:kern w:val="44"/>
          <w:sz w:val="28"/>
          <w:szCs w:val="44"/>
          <w:lang w:val="zh-CN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type w:val="continuous"/>
          <w:pgSz w:w="11906" w:h="16838"/>
          <w:pgMar w:top="1440" w:right="1800" w:bottom="1440" w:left="1800" w:header="851" w:footer="850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Cs/>
          <w:sz w:val="32"/>
          <w:szCs w:val="32"/>
        </w:rPr>
        <w:t>二〇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一九</w:t>
      </w:r>
      <w:r>
        <w:rPr>
          <w:rFonts w:hint="eastAsia" w:ascii="宋体" w:hAnsi="宋体" w:eastAsia="宋体" w:cs="宋体"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六</w:t>
      </w:r>
      <w:r>
        <w:rPr>
          <w:rFonts w:hint="eastAsia" w:ascii="宋体" w:hAnsi="宋体" w:eastAsia="宋体" w:cs="宋体"/>
          <w:bCs/>
          <w:sz w:val="32"/>
          <w:szCs w:val="32"/>
        </w:rPr>
        <w:t>月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二十一</w:t>
      </w:r>
      <w:r>
        <w:rPr>
          <w:rFonts w:hint="eastAsia" w:ascii="宋体" w:hAnsi="宋体" w:eastAsia="宋体" w:cs="宋体"/>
          <w:bCs/>
          <w:sz w:val="32"/>
          <w:szCs w:val="32"/>
        </w:rPr>
        <w:t>日</w:t>
      </w:r>
    </w:p>
    <w:p>
      <w:pPr>
        <w:pStyle w:val="2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目录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TOC \o "1-3" \f \h \u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\l "_Toc18067"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第一章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Theme="minorEastAsia" w:hAnsiTheme="minorEastAsia" w:eastAsiaTheme="minorEastAsia" w:cstheme="minorEastAsia"/>
          <w:sz w:val="24"/>
          <w:szCs w:val="24"/>
        </w:rPr>
      </w:pPr>
      <w:r>
        <w:fldChar w:fldCharType="begin"/>
      </w:r>
      <w:r>
        <w:instrText xml:space="preserve"> HYPERLINK \l "_Toc29206" </w:instrText>
      </w:r>
      <w: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章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预制场地的建设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9"/>
        <w:tabs>
          <w:tab w:val="right" w:leader="dot" w:pos="8306"/>
        </w:tabs>
        <w:ind w:firstLine="480"/>
        <w:rPr>
          <w:rFonts w:asciiTheme="minorEastAsia" w:hAnsiTheme="minorEastAsia" w:eastAsiaTheme="minorEastAsia" w:cstheme="minorEastAsia"/>
          <w:sz w:val="24"/>
          <w:szCs w:val="24"/>
        </w:rPr>
      </w:pPr>
      <w:r>
        <w:fldChar w:fldCharType="begin"/>
      </w:r>
      <w:r>
        <w:instrText xml:space="preserve"> HYPERLINK \l "_Toc6695" </w:instrText>
      </w:r>
      <w: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章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模板的制作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9"/>
        <w:tabs>
          <w:tab w:val="right" w:leader="dot" w:pos="8306"/>
        </w:tabs>
        <w:ind w:firstLine="480"/>
        <w:rPr>
          <w:rFonts w:asciiTheme="minorEastAsia" w:hAnsiTheme="minorEastAsia" w:eastAsiaTheme="minorEastAsia" w:cstheme="minorEastAsia"/>
          <w:sz w:val="24"/>
          <w:szCs w:val="24"/>
        </w:rPr>
      </w:pPr>
      <w:r>
        <w:fldChar w:fldCharType="begin"/>
      </w:r>
      <w:r>
        <w:instrText xml:space="preserve"> HYPERLINK \l "_Toc16661" </w:instrText>
      </w:r>
      <w: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章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开工报告的编制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9"/>
        <w:tabs>
          <w:tab w:val="right" w:leader="dot" w:pos="8306"/>
        </w:tabs>
        <w:ind w:firstLine="480"/>
        <w:rPr>
          <w:rFonts w:asciiTheme="minorEastAsia" w:hAnsiTheme="minorEastAsia" w:eastAsiaTheme="minorEastAsia" w:cstheme="minorEastAsia"/>
          <w:sz w:val="24"/>
          <w:szCs w:val="24"/>
        </w:rPr>
      </w:pPr>
      <w:r>
        <w:fldChar w:fldCharType="begin"/>
      </w:r>
      <w:r>
        <w:instrText xml:space="preserve"> HYPERLINK \l "_Toc21021" </w:instrText>
      </w:r>
      <w: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章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生产预制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9"/>
        <w:tabs>
          <w:tab w:val="right" w:leader="dot" w:pos="8306"/>
        </w:tabs>
        <w:ind w:firstLine="480"/>
        <w:rPr>
          <w:rFonts w:asciiTheme="minorEastAsia" w:hAnsiTheme="minorEastAsia" w:eastAsiaTheme="minorEastAsia" w:cstheme="minorEastAsia"/>
          <w:sz w:val="24"/>
          <w:szCs w:val="24"/>
        </w:rPr>
      </w:pPr>
      <w:r>
        <w:fldChar w:fldCharType="begin"/>
      </w:r>
      <w:r>
        <w:instrText xml:space="preserve"> HYPERLINK \l "_Toc21021" </w:instrText>
      </w:r>
      <w: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六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章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附 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</w:p>
    <w:p>
      <w:pPr>
        <w:pStyle w:val="9"/>
        <w:tabs>
          <w:tab w:val="right" w:leader="dot" w:pos="8306"/>
        </w:tabs>
        <w:ind w:firstLine="48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tabs>
          <w:tab w:val="left" w:pos="2117"/>
        </w:tabs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ab/>
      </w: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</w:p>
    <w:p>
      <w:pPr>
        <w:spacing w:before="4" w:line="360" w:lineRule="auto"/>
        <w:rPr>
          <w:rFonts w:ascii="仿宋" w:hAnsi="仿宋" w:eastAsia="仿宋" w:cs="宋体"/>
          <w:sz w:val="21"/>
          <w:szCs w:val="21"/>
          <w:lang w:eastAsia="zh-CN"/>
        </w:rPr>
      </w:pPr>
      <w:bookmarkStart w:id="1" w:name="第一章_总则"/>
      <w:bookmarkEnd w:id="1"/>
    </w:p>
    <w:p>
      <w:pPr>
        <w:rPr>
          <w:rFonts w:ascii="宋体" w:hAnsi="宋体" w:eastAsia="宋体" w:cs="宋体"/>
          <w:sz w:val="20"/>
          <w:szCs w:val="20"/>
          <w:lang w:eastAsia="zh-CN"/>
        </w:rPr>
      </w:pPr>
    </w:p>
    <w:p>
      <w:pPr>
        <w:spacing w:line="33" w:lineRule="exact"/>
        <w:ind w:left="123"/>
        <w:rPr>
          <w:rFonts w:ascii="宋体" w:hAnsi="宋体" w:eastAsia="宋体" w:cs="宋体"/>
          <w:sz w:val="3"/>
          <w:szCs w:val="3"/>
          <w:lang w:eastAsia="zh-CN"/>
        </w:rPr>
      </w:pPr>
    </w:p>
    <w:p>
      <w:pPr>
        <w:spacing w:line="33" w:lineRule="exact"/>
        <w:ind w:left="123"/>
        <w:rPr>
          <w:rFonts w:ascii="宋体" w:hAnsi="宋体" w:eastAsia="宋体" w:cs="宋体"/>
          <w:sz w:val="3"/>
          <w:szCs w:val="3"/>
          <w:lang w:eastAsia="zh-CN"/>
        </w:rPr>
      </w:pPr>
    </w:p>
    <w:p>
      <w:pPr>
        <w:spacing w:line="33" w:lineRule="exact"/>
        <w:ind w:left="123"/>
        <w:rPr>
          <w:rFonts w:ascii="宋体" w:hAnsi="宋体" w:eastAsia="宋体" w:cs="宋体"/>
          <w:sz w:val="3"/>
          <w:szCs w:val="3"/>
          <w:lang w:eastAsia="zh-CN"/>
        </w:rPr>
      </w:pPr>
    </w:p>
    <w:p>
      <w:pPr>
        <w:spacing w:line="33" w:lineRule="exact"/>
        <w:ind w:left="123"/>
        <w:rPr>
          <w:rFonts w:ascii="宋体" w:hAnsi="宋体" w:eastAsia="宋体" w:cs="宋体"/>
          <w:sz w:val="3"/>
          <w:szCs w:val="3"/>
          <w:lang w:eastAsia="zh-CN"/>
        </w:rPr>
      </w:pPr>
    </w:p>
    <w:p>
      <w:pPr>
        <w:spacing w:line="33" w:lineRule="exact"/>
        <w:ind w:left="123"/>
        <w:rPr>
          <w:rFonts w:ascii="宋体" w:hAnsi="宋体" w:eastAsia="宋体" w:cs="宋体"/>
          <w:sz w:val="3"/>
          <w:szCs w:val="3"/>
          <w:lang w:eastAsia="zh-CN"/>
        </w:rPr>
      </w:pPr>
    </w:p>
    <w:p>
      <w:pPr>
        <w:spacing w:line="33" w:lineRule="exact"/>
        <w:ind w:left="123"/>
        <w:rPr>
          <w:rFonts w:ascii="宋体" w:hAnsi="宋体" w:eastAsia="宋体" w:cs="宋体"/>
          <w:sz w:val="3"/>
          <w:szCs w:val="3"/>
          <w:lang w:eastAsia="zh-CN"/>
        </w:rPr>
      </w:pPr>
    </w:p>
    <w:p>
      <w:pPr>
        <w:spacing w:line="360" w:lineRule="auto"/>
        <w:ind w:firstLine="2560" w:firstLineChars="800"/>
        <w:rPr>
          <w:rFonts w:ascii="仿宋" w:hAnsi="仿宋" w:eastAsia="仿宋"/>
          <w:sz w:val="32"/>
          <w:szCs w:val="32"/>
          <w:lang w:eastAsia="zh-CN"/>
        </w:rPr>
      </w:pPr>
    </w:p>
    <w:p>
      <w:pPr>
        <w:spacing w:line="360" w:lineRule="auto"/>
        <w:ind w:firstLine="2560" w:firstLineChars="800"/>
        <w:rPr>
          <w:rFonts w:ascii="仿宋" w:hAnsi="仿宋" w:eastAsia="仿宋"/>
          <w:sz w:val="32"/>
          <w:szCs w:val="32"/>
          <w:lang w:eastAsia="zh-CN"/>
        </w:rPr>
      </w:pPr>
    </w:p>
    <w:p>
      <w:pPr>
        <w:spacing w:line="360" w:lineRule="auto"/>
        <w:ind w:firstLine="2560" w:firstLineChars="800"/>
        <w:rPr>
          <w:rFonts w:ascii="仿宋" w:hAnsi="仿宋" w:eastAsia="仿宋"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60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第一章 总则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第一条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为了加强台州市域铁路S1线一期工程小型预制构件的管理，提高构件的施工质量，做到文明、规范施工，争创精品工程，特制定本管理办法。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第二条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小型预制构件指用于台州市域铁路S1线一期工程的预制块及预制件。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第二章 预制场地的建设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第三条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预制场地应选址：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（1）预制场地的建设。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（2）道路通畅，原材料进场及成品运输较便利。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（3）水源充足。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（4）远离居民区。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（5）电力供应方便的地方。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第四条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预制场的面积根据工程量的大小确定，且较富余。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第五条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预制场的工作区、材料存放区、成品堆放区必须硬化。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第六条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预制场工厂生活区与工作区必须公开，且布局合理。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第七条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预制场必须修建自流式的养生水池。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第八条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预制场必须配有自发电机组、振动台、振动棒、砼试模及试件专用养生间（池）。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第九条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预制场电线电路应规范布置，必须设总闸及多个分闸，不得多个用电器共用开关，专人看管。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第十条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场区内排水通畅。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第十一条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生活及建筑垃圾应集中存放、集中处理，不得随意丢弃。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第十二条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预制场内的各种材料必须有标志标识牌，标明材料的规格、型号、产地及检验状态等。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第十三条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相应的质量要求、质量目标、施工工艺以及安全生产制度均应上墙。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第十四条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不同型式的预制构件应分类堆放整齐，并注明浇筑日期。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第三章 模板的制作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第十五条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开始施工前，根据图纸要求的尺寸制作相应的模板，建议选择正规的模具生产厂家。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第十六条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模板必须具有足够的强度、刚度和稳定性，能可靠地承受施工过程中可能产生的各种荷载，保证预制件各部位形状、尺寸准确。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第十七条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模板应制作简单，拆装方便，拆卸时尽量减少模板和杆件的损伤，提高模板的周转率。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第十八条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模板板面平整，接缝严密不漏浆。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第十九条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模板的数量应满足连续工作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>2~3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天所需的数量。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第四章 开工报告的编制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第二十条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砼预制构件开工前，应编制专项施工方案，并履行相应的报审程序，同时应编制分项工程开工报告报监理工程师批复，未征得监理工程师批复、不得开工。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第五章 生产预制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第二十一条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砼的供应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混凝土统一由总包部自建站协调供应，不得私自采购商业混凝土或自拌混凝土。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第二十二条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砼的浇筑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（1）检查模内尺寸，符合要求方能使用。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（2）清除模板内的杂物、泥灰、油污等，清完后在靠砼一面涂脱模剂（或干净机油），涂刷要均匀且不得影响砼表面色泽。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（3）振捣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砼的振捣方式分为三种：插入式振捣、外部振捣及振动台振捣，建议有条件的工区采用振动台振捣。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第二十三条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砼预制件的养生和堆放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（1）砼预制件拆模必须有一定的强度，确保预制件不起皮、不掉皮、不掉角。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（2）砼的养护时间，应根据水泥的品种、气候条件及养护方式确定，不得少于28天。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（3）预制件脱模后搬运时必须轻拿轻放，以免碰撞棱角；堆放必须整齐，不得乱堆、乱放，由专人负责指挥堆存。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第二十四条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预制件的验收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（1）砼预制件养生期完后，可以组织验收。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（2）验收标准如下：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a、砼预制件尺寸满足图纸要求。（用尺量）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b、砼预制件表面光洁度满足规范要求。（目测）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c、砼预制件表面蜂窝、麻面、气泡面积不超过表面积的3%。（计算）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d、砼预制制作强度达到设计要求。（查抗压强度资料、并取芯进行复核）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e、砼预制作不能有掉角、破损现象。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（3）验收合格的预制件才能使用。验收不合格的予以废弃。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第二十五条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运输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应选用车厢较平整较宽敞且较低的运输车运输。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预制件应紧密立放于车厢上，不得重叠，四周用麻布或草帘塞紧，防止碰坏预制件。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运输车车速应平整。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运至安装现场时，用滑板缓慢下滑至相应地点，不得人工抛置。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路途损坏的预制件不得用于安装。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第六章 附 则</w:t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第二十六条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本办法自下发之日开始执行，其解释权归总包部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工程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部。</w:t>
      </w:r>
    </w:p>
    <w:p>
      <w:pPr>
        <w:pStyle w:val="2"/>
        <w:rPr>
          <w:lang w:eastAsia="zh-CN"/>
        </w:rPr>
      </w:pPr>
    </w:p>
    <w:sectPr>
      <w:headerReference r:id="rId8" w:type="default"/>
      <w:footerReference r:id="rId9" w:type="default"/>
      <w:footerReference r:id="rId10" w:type="even"/>
      <w:pgSz w:w="11910" w:h="16820"/>
      <w:pgMar w:top="1440" w:right="1678" w:bottom="1202" w:left="1678" w:header="0" w:footer="1004" w:gutter="0"/>
      <w:pgNumType w:fmt="decimal"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长城行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mmercialPi BT">
    <w:panose1 w:val="05020102010206080802"/>
    <w:charset w:val="02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New York">
    <w:altName w:val="PMingLiU-ExtB"/>
    <w:panose1 w:val="02020502060305060204"/>
    <w:charset w:val="00"/>
    <w:family w:val="roman"/>
    <w:pitch w:val="default"/>
    <w:sig w:usb0="00000000" w:usb1="00000000" w:usb2="00000000" w:usb3="00000000" w:csb0="00000000" w:csb1="00000000"/>
  </w:font>
  <w:font w:name="全真中明體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文鼎CS书宋二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AmdtSymbols">
    <w:panose1 w:val="02000500000000020004"/>
    <w:charset w:val="00"/>
    <w:family w:val="auto"/>
    <w:pitch w:val="default"/>
    <w:sig w:usb0="00000001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ËÎÌå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10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'宋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???|CS?o｡ﾀ?">
    <w:altName w:val="MS PGothic"/>
    <w:panose1 w:val="00000000000000000000"/>
    <w:charset w:val="80"/>
    <w:family w:val="decorative"/>
    <w:pitch w:val="default"/>
    <w:sig w:usb0="00000000" w:usb1="00000000" w:usb2="00000010" w:usb3="00000000" w:csb0="0002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華康仿宋體">
    <w:altName w:val="Microsoft JhengHei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T283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2AD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HiddenHorzOCR-Identity-H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Futura Bk">
    <w:altName w:val="Trebuchet MS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Cumberland">
    <w:altName w:val="Courier New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宋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ldine401 BT">
    <w:altName w:val="Segoe Print"/>
    <w:panose1 w:val="00000000000000000000"/>
    <w:charset w:val="00"/>
    <w:family w:val="roman"/>
    <w:pitch w:val="default"/>
    <w:sig w:usb0="00000000" w:usb1="00000000" w:usb2="00000000" w:usb3="00000000" w:csb0="00000011" w:csb1="00000000"/>
  </w:font>
  <w:font w:name="Futura Hv">
    <w:altName w:val="Arial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Arial (W1)">
    <w:altName w:val="Arial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FHLHE E+ Futura B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PingFang SC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r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Yu Gothic">
    <w:altName w:val="Kozuka Gothic Pr6N R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CG Times">
    <w:altName w:val="Traditional Arabic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思源黑体 CN Bold">
    <w:altName w:val="黑体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思源黑体 CN Regular">
    <w:altName w:val="黑体"/>
    <w:panose1 w:val="00000000000000000000"/>
    <w:charset w:val="86"/>
    <w:family w:val="swiss"/>
    <w:pitch w:val="default"/>
    <w:sig w:usb0="00000000" w:usb1="00000000" w:usb2="00000016" w:usb3="00000000" w:csb0="00060107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LF So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Microsoft JhengHei Light">
    <w:altName w:val="宋体"/>
    <w:panose1 w:val="020B0304030504040204"/>
    <w:charset w:val="86"/>
    <w:family w:val="swiss"/>
    <w:pitch w:val="default"/>
    <w:sig w:usb0="00000000" w:usb1="00000000" w:usb2="00000016" w:usb3="00000000" w:csb0="00100009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Univers">
    <w:altName w:val="Segoe Print"/>
    <w:panose1 w:val="020B0603020202030204"/>
    <w:charset w:val="00"/>
    <w:family w:val="swiss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楷体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宋三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Sitka Text">
    <w:altName w:val="AmdtSymbols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TT283o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行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F So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Frutiger 45 Ligh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alatino">
    <w:altName w:val="Palatino Linotype"/>
    <w:panose1 w:val="02040602050305020304"/>
    <w:charset w:val="00"/>
    <w:family w:val="roman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ourier">
    <w:altName w:val="Courier New"/>
    <w:panose1 w:val="02060409020205020404"/>
    <w:charset w:val="00"/>
    <w:family w:val="modern"/>
    <w:pitch w:val="default"/>
    <w:sig w:usb0="00000000" w:usb1="00000000" w:usb2="00000000" w:usb3="00000000" w:csb0="00000000" w:csb1="00000000"/>
  </w:font>
  <w:font w:name="B Frutiger Bol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.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restige Elite Std">
    <w:panose1 w:val="02060509020206020304"/>
    <w:charset w:val="00"/>
    <w:family w:val="auto"/>
    <w:pitch w:val="default"/>
    <w:sig w:usb0="00000003" w:usb1="00000000" w:usb2="00000000" w:usb3="00000000" w:csb0="60000001" w:csb1="00000000"/>
  </w:font>
  <w:font w:name="Kozuka Gothic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Yu Gothic UI Semilight">
    <w:altName w:val="Kozuka Gothic Pr6N R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Microsoft New Tai Lue">
    <w:panose1 w:val="020B0502040204020203"/>
    <w:charset w:val="00"/>
    <w:family w:val="swiss"/>
    <w:pitch w:val="default"/>
    <w:sig w:usb0="00000003" w:usb1="00000000" w:usb2="80000000" w:usb3="00000000" w:csb0="00000001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JQY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math"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Symap"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wis721 BlkEx BT">
    <w:panose1 w:val="020B0907040502030204"/>
    <w:charset w:val="00"/>
    <w:family w:val="auto"/>
    <w:pitch w:val="default"/>
    <w:sig w:usb0="00000000" w:usb1="00000000" w:usb2="00000000" w:usb3="00000000" w:csb0="00000000" w:csb1="00000000"/>
  </w:font>
  <w:font w:name="Swis721 BlkCn BT">
    <w:panose1 w:val="020B0806030502040204"/>
    <w:charset w:val="00"/>
    <w:family w:val="auto"/>
    <w:pitch w:val="default"/>
    <w:sig w:usb0="00000000" w:usb1="00000000" w:usb2="00000000" w:usb3="00000000" w:csb0="00000000" w:csb1="00000000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SuperFrench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wis721 Blk BT">
    <w:panose1 w:val="020B0904030502020204"/>
    <w:charset w:val="00"/>
    <w:family w:val="auto"/>
    <w:pitch w:val="default"/>
    <w:sig w:usb0="00000000" w:usb1="00000000" w:usb2="00000000" w:usb3="00000000" w:csb0="00000000" w:csb1="00000000"/>
  </w:font>
  <w:font w:name="Swis721 Lt BT">
    <w:panose1 w:val="020B0403020202020204"/>
    <w:charset w:val="00"/>
    <w:family w:val="auto"/>
    <w:pitch w:val="default"/>
    <w:sig w:usb0="00000000" w:usb1="00000000" w:usb2="00000000" w:usb3="00000000" w:csb0="00000000" w:csb1="00000000"/>
  </w:font>
  <w:font w:name="Swis721 LtCn BT">
    <w:panose1 w:val="020B0406020202030204"/>
    <w:charset w:val="00"/>
    <w:family w:val="auto"/>
    <w:pitch w:val="default"/>
    <w:sig w:usb0="00000000" w:usb1="00000000" w:usb2="00000000" w:usb3="00000000" w:csb0="00000000" w:csb1="00000000"/>
  </w:font>
  <w:font w:name="Syastro">
    <w:panose1 w:val="00000400000000000000"/>
    <w:charset w:val="00"/>
    <w:family w:val="auto"/>
    <w:pitch w:val="default"/>
    <w:sig w:usb0="00000001" w:usb1="00000000" w:usb2="00000000" w:usb3="00000000" w:csb0="000001FF" w:csb1="00000000"/>
  </w:font>
  <w:font w:name="Swis721 Ex BT">
    <w:panose1 w:val="020B0605020202020204"/>
    <w:charset w:val="00"/>
    <w:family w:val="auto"/>
    <w:pitch w:val="default"/>
    <w:sig w:usb0="00000000" w:usb1="00000000" w:usb2="00000000" w:usb3="00000000" w:csb0="00000000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itka Banner">
    <w:altName w:val="AmdtSymbols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Uighur">
    <w:panose1 w:val="02000000000000000000"/>
    <w:charset w:val="00"/>
    <w:family w:val="auto"/>
    <w:pitch w:val="default"/>
    <w:sig w:usb0="80002023" w:usb1="80000002" w:usb2="00000008" w:usb3="00000000" w:csb0="0000004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spacing w:line="14" w:lineRule="auto"/>
      <w:jc w:val="center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  <w:rPr>
        <w:rFonts w:ascii="黑体" w:hAnsi="宋体" w:eastAsia="黑体" w:cs="黑体"/>
        <w:sz w:val="28"/>
        <w:szCs w:val="28"/>
      </w:rPr>
    </w:pPr>
  </w:p>
  <w:p>
    <w:pPr>
      <w:pStyle w:val="8"/>
      <w:pBdr>
        <w:bottom w:val="none" w:color="auto" w:sz="0" w:space="0"/>
      </w:pBdr>
      <w:jc w:val="right"/>
      <w:rPr>
        <w:rFonts w:hint="eastAsia" w:eastAsia="黑体"/>
        <w:lang w:eastAsia="zh-CN"/>
      </w:rPr>
    </w:pPr>
    <w:r>
      <w:rPr>
        <w:rFonts w:hint="eastAsia"/>
      </w:rPr>
      <w:drawing>
        <wp:anchor distT="0" distB="0" distL="0" distR="0" simplePos="0" relativeHeight="251676672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-207645</wp:posOffset>
          </wp:positionV>
          <wp:extent cx="3375660" cy="481965"/>
          <wp:effectExtent l="0" t="0" r="15240" b="13335"/>
          <wp:wrapNone/>
          <wp:docPr id="4" name="图片 0" descr="C:\Users\wangliwu\Desktop\制度、文件\制度\台州总包部制度\总包部考勤管理办法20190107\苏州中车logo.png苏州中车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0" descr="C:\Users\wangliwu\Desktop\制度、文件\制度\台州总包部制度\总包部考勤管理办法20190107\苏州中车logo.png苏州中车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566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黑体" w:hAnsi="宋体" w:eastAsia="黑体" w:cs="黑体"/>
        <w:sz w:val="28"/>
        <w:szCs w:val="28"/>
      </w:rPr>
      <w:t>ZCJG</w:t>
    </w:r>
    <w:r>
      <w:rPr>
        <w:rFonts w:hint="eastAsia" w:ascii="黑体" w:hAnsi="宋体" w:eastAsia="黑体" w:cs="黑体"/>
        <w:sz w:val="28"/>
        <w:szCs w:val="28"/>
      </w:rPr>
      <w:t>/</w:t>
    </w:r>
    <w:r>
      <w:rPr>
        <w:rFonts w:ascii="黑体" w:hAnsi="宋体" w:eastAsia="黑体" w:cs="黑体"/>
        <w:sz w:val="28"/>
        <w:szCs w:val="28"/>
      </w:rPr>
      <w:t>G</w:t>
    </w:r>
    <w:r>
      <w:rPr>
        <w:rFonts w:hint="eastAsia" w:ascii="黑体" w:hAnsi="宋体" w:eastAsia="黑体" w:cs="黑体"/>
        <w:sz w:val="28"/>
        <w:szCs w:val="28"/>
      </w:rPr>
      <w:t>-</w:t>
    </w:r>
    <w:r>
      <w:rPr>
        <w:rFonts w:hint="eastAsia" w:ascii="黑体" w:hAnsi="宋体" w:eastAsia="黑体" w:cs="黑体"/>
        <w:sz w:val="28"/>
        <w:szCs w:val="28"/>
        <w:lang w:val="en-US" w:eastAsia="zh-CN"/>
      </w:rPr>
      <w:t>TZZB</w:t>
    </w:r>
    <w:r>
      <w:rPr>
        <w:rFonts w:ascii="黑体" w:hAnsi="宋体" w:eastAsia="黑体" w:cs="黑体"/>
        <w:sz w:val="28"/>
        <w:szCs w:val="28"/>
      </w:rPr>
      <w:t>-</w:t>
    </w:r>
    <w:r>
      <w:rPr>
        <w:rFonts w:hint="eastAsia" w:ascii="黑体" w:hAnsi="宋体" w:eastAsia="黑体" w:cs="黑体"/>
        <w:sz w:val="28"/>
        <w:szCs w:val="28"/>
        <w:lang w:val="en-US" w:eastAsia="zh-CN"/>
      </w:rPr>
      <w:t>25</w:t>
    </w:r>
    <w:r>
      <w:rPr>
        <w:rFonts w:ascii="黑体" w:hAnsi="宋体" w:eastAsia="黑体" w:cs="黑体"/>
        <w:sz w:val="28"/>
        <w:szCs w:val="28"/>
      </w:rPr>
      <w:t>-</w:t>
    </w:r>
    <w:r>
      <w:rPr>
        <w:rFonts w:hint="eastAsia" w:ascii="黑体" w:hAnsi="宋体" w:eastAsia="黑体" w:cs="黑体"/>
        <w:sz w:val="28"/>
        <w:szCs w:val="28"/>
        <w:lang w:val="en-US" w:eastAsia="zh-CN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  <w:rPr>
        <w:rFonts w:ascii="黑体" w:hAnsi="宋体" w:eastAsia="黑体" w:cs="黑体"/>
        <w:sz w:val="28"/>
        <w:szCs w:val="28"/>
      </w:rPr>
    </w:pPr>
  </w:p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AD"/>
    <w:rsid w:val="00000DA1"/>
    <w:rsid w:val="00092C44"/>
    <w:rsid w:val="00095183"/>
    <w:rsid w:val="00095CBB"/>
    <w:rsid w:val="000D0D0B"/>
    <w:rsid w:val="000E54CF"/>
    <w:rsid w:val="000E718B"/>
    <w:rsid w:val="000F6814"/>
    <w:rsid w:val="001331A4"/>
    <w:rsid w:val="00140C44"/>
    <w:rsid w:val="00142A57"/>
    <w:rsid w:val="00163458"/>
    <w:rsid w:val="00176723"/>
    <w:rsid w:val="0018036D"/>
    <w:rsid w:val="001A189E"/>
    <w:rsid w:val="001A313E"/>
    <w:rsid w:val="001A523A"/>
    <w:rsid w:val="001C1422"/>
    <w:rsid w:val="001E6371"/>
    <w:rsid w:val="00215416"/>
    <w:rsid w:val="00295458"/>
    <w:rsid w:val="002A1D4C"/>
    <w:rsid w:val="002A323B"/>
    <w:rsid w:val="002B2419"/>
    <w:rsid w:val="002C04AC"/>
    <w:rsid w:val="002D1C0E"/>
    <w:rsid w:val="002D61F4"/>
    <w:rsid w:val="002F1BFB"/>
    <w:rsid w:val="003407CD"/>
    <w:rsid w:val="00353C76"/>
    <w:rsid w:val="0036207B"/>
    <w:rsid w:val="00390337"/>
    <w:rsid w:val="003D6C2D"/>
    <w:rsid w:val="003E5757"/>
    <w:rsid w:val="003F3023"/>
    <w:rsid w:val="00412DB6"/>
    <w:rsid w:val="00422E80"/>
    <w:rsid w:val="00423E82"/>
    <w:rsid w:val="00471E19"/>
    <w:rsid w:val="004A23D8"/>
    <w:rsid w:val="004C3E5F"/>
    <w:rsid w:val="004D07DA"/>
    <w:rsid w:val="004D2FC2"/>
    <w:rsid w:val="004E510C"/>
    <w:rsid w:val="004F448F"/>
    <w:rsid w:val="005120F4"/>
    <w:rsid w:val="00516A68"/>
    <w:rsid w:val="00516DBD"/>
    <w:rsid w:val="00521C51"/>
    <w:rsid w:val="00525798"/>
    <w:rsid w:val="00532F2E"/>
    <w:rsid w:val="00544D56"/>
    <w:rsid w:val="005674AB"/>
    <w:rsid w:val="005A5C25"/>
    <w:rsid w:val="005C1206"/>
    <w:rsid w:val="005F6567"/>
    <w:rsid w:val="00662D1E"/>
    <w:rsid w:val="00665AD6"/>
    <w:rsid w:val="006C3379"/>
    <w:rsid w:val="006C6325"/>
    <w:rsid w:val="006E7F44"/>
    <w:rsid w:val="00725586"/>
    <w:rsid w:val="007272E5"/>
    <w:rsid w:val="007314E5"/>
    <w:rsid w:val="007321F4"/>
    <w:rsid w:val="00736073"/>
    <w:rsid w:val="00736E04"/>
    <w:rsid w:val="007504EE"/>
    <w:rsid w:val="007545E5"/>
    <w:rsid w:val="007547C4"/>
    <w:rsid w:val="00764CC8"/>
    <w:rsid w:val="00766647"/>
    <w:rsid w:val="007843FD"/>
    <w:rsid w:val="007F2C33"/>
    <w:rsid w:val="007F714C"/>
    <w:rsid w:val="00844BD1"/>
    <w:rsid w:val="008471D0"/>
    <w:rsid w:val="00863275"/>
    <w:rsid w:val="008758D0"/>
    <w:rsid w:val="00876076"/>
    <w:rsid w:val="008A3324"/>
    <w:rsid w:val="008B3758"/>
    <w:rsid w:val="008B6F31"/>
    <w:rsid w:val="008F014C"/>
    <w:rsid w:val="00905E72"/>
    <w:rsid w:val="00975525"/>
    <w:rsid w:val="009966AD"/>
    <w:rsid w:val="00997ACC"/>
    <w:rsid w:val="009B734D"/>
    <w:rsid w:val="009F02A2"/>
    <w:rsid w:val="00A03E8A"/>
    <w:rsid w:val="00A1471B"/>
    <w:rsid w:val="00A200CB"/>
    <w:rsid w:val="00A370A3"/>
    <w:rsid w:val="00A47AF6"/>
    <w:rsid w:val="00A82A0C"/>
    <w:rsid w:val="00AC0B66"/>
    <w:rsid w:val="00AD7680"/>
    <w:rsid w:val="00AE34B2"/>
    <w:rsid w:val="00B30190"/>
    <w:rsid w:val="00B57944"/>
    <w:rsid w:val="00B85848"/>
    <w:rsid w:val="00BA44B8"/>
    <w:rsid w:val="00BC3EE6"/>
    <w:rsid w:val="00BD60E3"/>
    <w:rsid w:val="00BF58C7"/>
    <w:rsid w:val="00C27551"/>
    <w:rsid w:val="00C52948"/>
    <w:rsid w:val="00C92DE0"/>
    <w:rsid w:val="00C95893"/>
    <w:rsid w:val="00CA2E62"/>
    <w:rsid w:val="00CB1BCC"/>
    <w:rsid w:val="00CD2FEA"/>
    <w:rsid w:val="00CE681D"/>
    <w:rsid w:val="00D16FCD"/>
    <w:rsid w:val="00D24E2E"/>
    <w:rsid w:val="00D273B4"/>
    <w:rsid w:val="00D665B1"/>
    <w:rsid w:val="00D82272"/>
    <w:rsid w:val="00D86BA2"/>
    <w:rsid w:val="00DA0520"/>
    <w:rsid w:val="00DC1C1E"/>
    <w:rsid w:val="00DC4645"/>
    <w:rsid w:val="00DE59F8"/>
    <w:rsid w:val="00DF3496"/>
    <w:rsid w:val="00E34C21"/>
    <w:rsid w:val="00E37705"/>
    <w:rsid w:val="00E77192"/>
    <w:rsid w:val="00E90447"/>
    <w:rsid w:val="00E93A66"/>
    <w:rsid w:val="00EE2AF9"/>
    <w:rsid w:val="00EF1747"/>
    <w:rsid w:val="00F16C59"/>
    <w:rsid w:val="00F1748F"/>
    <w:rsid w:val="00F23537"/>
    <w:rsid w:val="00F43457"/>
    <w:rsid w:val="00F50743"/>
    <w:rsid w:val="00F51C92"/>
    <w:rsid w:val="00F70B57"/>
    <w:rsid w:val="00F82FBA"/>
    <w:rsid w:val="00F8690D"/>
    <w:rsid w:val="00F9126E"/>
    <w:rsid w:val="00F9325F"/>
    <w:rsid w:val="00FB2FF3"/>
    <w:rsid w:val="00FE1E57"/>
    <w:rsid w:val="0C7F7565"/>
    <w:rsid w:val="10403091"/>
    <w:rsid w:val="12622109"/>
    <w:rsid w:val="1347326E"/>
    <w:rsid w:val="13B76F07"/>
    <w:rsid w:val="14C5578A"/>
    <w:rsid w:val="1D892D70"/>
    <w:rsid w:val="1E390C8D"/>
    <w:rsid w:val="21520436"/>
    <w:rsid w:val="23175C65"/>
    <w:rsid w:val="244D09FC"/>
    <w:rsid w:val="28624538"/>
    <w:rsid w:val="28EE710A"/>
    <w:rsid w:val="3AA12BD8"/>
    <w:rsid w:val="3B0D68A4"/>
    <w:rsid w:val="3C876862"/>
    <w:rsid w:val="3CE5676D"/>
    <w:rsid w:val="3E282B1D"/>
    <w:rsid w:val="45580952"/>
    <w:rsid w:val="47EE254A"/>
    <w:rsid w:val="49860FF1"/>
    <w:rsid w:val="4CC37FD4"/>
    <w:rsid w:val="4D9D33F4"/>
    <w:rsid w:val="4F1C3908"/>
    <w:rsid w:val="51B90D7F"/>
    <w:rsid w:val="52C80DEE"/>
    <w:rsid w:val="55D7635E"/>
    <w:rsid w:val="56CD63EC"/>
    <w:rsid w:val="5F0C577C"/>
    <w:rsid w:val="60E9379E"/>
    <w:rsid w:val="62AF1826"/>
    <w:rsid w:val="6373094C"/>
    <w:rsid w:val="6497001C"/>
    <w:rsid w:val="6873216A"/>
    <w:rsid w:val="72924D22"/>
    <w:rsid w:val="76993186"/>
    <w:rsid w:val="7C707331"/>
    <w:rsid w:val="7DBB095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9"/>
    <w:pPr>
      <w:ind w:left="513"/>
      <w:outlineLvl w:val="0"/>
    </w:pPr>
    <w:rPr>
      <w:rFonts w:ascii="Microsoft JhengHei" w:hAnsi="Microsoft JhengHei" w:eastAsia="Microsoft JhengHei"/>
      <w:b/>
      <w:bCs/>
      <w:sz w:val="72"/>
      <w:szCs w:val="72"/>
    </w:rPr>
  </w:style>
  <w:style w:type="paragraph" w:styleId="4">
    <w:name w:val="heading 2"/>
    <w:basedOn w:val="1"/>
    <w:next w:val="1"/>
    <w:unhideWhenUsed/>
    <w:qFormat/>
    <w:uiPriority w:val="9"/>
    <w:pPr>
      <w:ind w:left="912"/>
      <w:outlineLvl w:val="1"/>
    </w:pPr>
    <w:rPr>
      <w:rFonts w:ascii="Microsoft JhengHei" w:hAnsi="Microsoft JhengHei" w:eastAsia="Microsoft JhengHei"/>
      <w:b/>
      <w:bCs/>
      <w:sz w:val="36"/>
      <w:szCs w:val="36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正文"/>
    <w:basedOn w:val="1"/>
    <w:qFormat/>
    <w:uiPriority w:val="99"/>
    <w:pPr>
      <w:spacing w:line="600" w:lineRule="exact"/>
      <w:ind w:firstLine="200" w:firstLineChars="200"/>
      <w:jc w:val="both"/>
    </w:pPr>
    <w:rPr>
      <w:rFonts w:ascii="Times New Roman" w:hAnsi="Times New Roman" w:eastAsia="仿宋" w:cs="Times New Roman"/>
      <w:kern w:val="2"/>
      <w:sz w:val="30"/>
      <w:szCs w:val="20"/>
      <w:lang w:eastAsia="zh-CN" w:bidi="he-IL"/>
    </w:rPr>
  </w:style>
  <w:style w:type="paragraph" w:styleId="5">
    <w:name w:val="Body Text"/>
    <w:basedOn w:val="1"/>
    <w:qFormat/>
    <w:uiPriority w:val="1"/>
    <w:pPr>
      <w:ind w:left="118"/>
    </w:pPr>
    <w:rPr>
      <w:rFonts w:ascii="宋体" w:hAnsi="宋体" w:eastAsia="宋体"/>
      <w:sz w:val="28"/>
      <w:szCs w:val="28"/>
    </w:rPr>
  </w:style>
  <w:style w:type="paragraph" w:styleId="6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spacing w:line="60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lang w:eastAsia="zh-CN"/>
    </w:rPr>
  </w:style>
  <w:style w:type="table" w:styleId="12">
    <w:name w:val="Table Grid"/>
    <w:basedOn w:val="11"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table" w:customStyle="1" w:styleId="13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列表段落1"/>
    <w:basedOn w:val="1"/>
    <w:qFormat/>
    <w:uiPriority w:val="1"/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15"/>
    <w:basedOn w:val="10"/>
    <w:qFormat/>
    <w:uiPriority w:val="0"/>
    <w:rPr>
      <w:rFonts w:hint="eastAsia" w:ascii="宋体" w:hAnsi="宋体" w:eastAsia="华文行楷"/>
      <w:color w:val="000000"/>
      <w:kern w:val="2"/>
      <w:sz w:val="21"/>
      <w:szCs w:val="21"/>
    </w:rPr>
  </w:style>
  <w:style w:type="character" w:customStyle="1" w:styleId="17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0"/>
    <w:link w:val="7"/>
    <w:qFormat/>
    <w:uiPriority w:val="99"/>
    <w:rPr>
      <w:sz w:val="18"/>
      <w:szCs w:val="18"/>
    </w:rPr>
  </w:style>
  <w:style w:type="character" w:customStyle="1" w:styleId="19">
    <w:name w:val="批注框文本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20">
    <w:name w:val="font21"/>
    <w:basedOn w:val="10"/>
    <w:qFormat/>
    <w:uiPriority w:val="0"/>
    <w:rPr>
      <w:rFonts w:hint="eastAsia" w:ascii="仿宋" w:hAnsi="仿宋" w:eastAsia="仿宋"/>
      <w:color w:val="000000"/>
      <w:sz w:val="24"/>
      <w:szCs w:val="24"/>
      <w:u w:val="none"/>
    </w:rPr>
  </w:style>
  <w:style w:type="character" w:customStyle="1" w:styleId="21">
    <w:name w:val="font01"/>
    <w:basedOn w:val="10"/>
    <w:qFormat/>
    <w:uiPriority w:val="0"/>
    <w:rPr>
      <w:rFonts w:hint="eastAsia" w:ascii="仿宋" w:hAnsi="仿宋" w:eastAsia="仿宋"/>
      <w:color w:val="000000"/>
      <w:sz w:val="24"/>
      <w:szCs w:val="24"/>
      <w:u w:val="single"/>
    </w:rPr>
  </w:style>
  <w:style w:type="paragraph" w:customStyle="1" w:styleId="22">
    <w:name w:val="TOC 标题2"/>
    <w:basedOn w:val="3"/>
    <w:next w:val="1"/>
    <w:unhideWhenUsed/>
    <w:qFormat/>
    <w:uiPriority w:val="39"/>
    <w:pPr>
      <w:keepNext/>
      <w:keepLines/>
      <w:widowControl/>
      <w:spacing w:before="480" w:line="276" w:lineRule="auto"/>
      <w:ind w:left="0"/>
      <w:outlineLvl w:val="9"/>
    </w:pPr>
    <w:rPr>
      <w:rFonts w:asciiTheme="majorHAnsi" w:hAnsiTheme="majorHAnsi" w:eastAsiaTheme="majorEastAsia" w:cstheme="majorBidi"/>
      <w:color w:val="376092" w:themeColor="accent1" w:themeShade="BF"/>
      <w:sz w:val="28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65B991-677C-4409-A46E-8E0B01ED4D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5549</Words>
  <Characters>5640</Characters>
  <Lines>48</Lines>
  <Paragraphs>13</Paragraphs>
  <ScaleCrop>false</ScaleCrop>
  <LinksUpToDate>false</LinksUpToDate>
  <CharactersWithSpaces>6021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2019-08-20T07:23:00Z</dcterms:created>
  <dc:creator>SH</dc:creator>
  <cp:lastModifiedBy>规划运营部信息员</cp:lastModifiedBy>
  <cp:lastPrinted>2019-08-21T08:55:00Z</cp:lastPrinted>
  <dcterms:modified xsi:type="dcterms:W3CDTF">2020-08-27T06:16:28Z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2019-07-16T00:00:00Z</vt:filetime>
  </property>
  <property fmtid="{D5CDD505-2E9C-101B-9397-08002B2CF9AE}" pid="5" name="KSOProductBuildVer">
    <vt:lpwstr>2052-10.8.0.5874</vt:lpwstr>
  </property>
</Properties>
</file>