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bidi w:val="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台州市循环经济产业集聚区海塘提升工程EPC工程总承包一标段</w:t>
      </w:r>
    </w:p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环境保护措施</w:t>
      </w:r>
    </w:p>
    <w:p>
      <w:pPr>
        <w:pStyle w:val="2"/>
        <w:numPr>
          <w:ilvl w:val="0"/>
          <w:numId w:val="1"/>
        </w:numPr>
        <w:ind w:left="0" w:leftChars="0" w:firstLine="480" w:firstLineChars="200"/>
        <w:rPr>
          <w:rFonts w:hint="eastAsia" w:cs="宋体"/>
          <w:snapToGrid w:val="0"/>
          <w:sz w:val="24"/>
          <w:szCs w:val="24"/>
          <w:lang w:eastAsia="zh-CN" w:bidi="ar"/>
        </w:rPr>
      </w:pPr>
      <w:r>
        <w:rPr>
          <w:rFonts w:hint="eastAsia" w:ascii="Calibri" w:hAnsi="Calibri" w:eastAsia="宋体" w:cs="宋体"/>
          <w:snapToGrid w:val="0"/>
          <w:sz w:val="24"/>
          <w:szCs w:val="24"/>
          <w:lang w:bidi="ar"/>
        </w:rPr>
        <w:t>每天做到场地清洁，房屋四周排水畅通，无污水死水、无病毒滋生的腐质物堆</w:t>
      </w:r>
      <w:r>
        <w:rPr>
          <w:rFonts w:hint="eastAsia" w:cs="宋体"/>
          <w:snapToGrid w:val="0"/>
          <w:sz w:val="24"/>
          <w:szCs w:val="24"/>
          <w:lang w:eastAsia="zh-CN" w:bidi="ar"/>
        </w:rPr>
        <w:t>。</w:t>
      </w:r>
      <w:r>
        <w:rPr>
          <w:rFonts w:hint="eastAsia"/>
          <w:color w:val="auto"/>
          <w:lang w:val="en-US" w:eastAsia="zh-CN"/>
        </w:rPr>
        <w:t>设置</w:t>
      </w:r>
      <w:r>
        <w:rPr>
          <w:rFonts w:hint="default"/>
          <w:color w:val="auto"/>
          <w:lang w:val="en-US" w:eastAsia="zh-CN"/>
        </w:rPr>
        <w:t>垃圾集中收集点</w:t>
      </w:r>
      <w:r>
        <w:rPr>
          <w:rFonts w:hint="eastAsia"/>
          <w:color w:val="auto"/>
          <w:lang w:val="en-US" w:eastAsia="zh-CN"/>
        </w:rPr>
        <w:t>，</w:t>
      </w:r>
      <w:r>
        <w:rPr>
          <w:rFonts w:hint="default"/>
          <w:lang w:val="en-US" w:eastAsia="zh-CN"/>
        </w:rPr>
        <w:t>按</w:t>
      </w:r>
      <w:r>
        <w:rPr>
          <w:rFonts w:hint="eastAsia"/>
          <w:lang w:val="en-US" w:eastAsia="zh-CN"/>
        </w:rPr>
        <w:t>厨余垃圾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可回收垃圾、</w:t>
      </w:r>
      <w:r>
        <w:rPr>
          <w:rFonts w:hint="default"/>
          <w:lang w:val="en-US" w:eastAsia="zh-CN"/>
        </w:rPr>
        <w:t>有害垃圾</w:t>
      </w:r>
      <w:r>
        <w:rPr>
          <w:rFonts w:hint="eastAsia"/>
          <w:lang w:val="en-US" w:eastAsia="zh-CN"/>
        </w:rPr>
        <w:t>、其他垃圾</w:t>
      </w:r>
      <w:r>
        <w:rPr>
          <w:rFonts w:hint="default"/>
          <w:lang w:val="en-US" w:eastAsia="zh-CN"/>
        </w:rPr>
        <w:t>分类存放，外委专业垃圾收集单位及时清理</w:t>
      </w:r>
      <w:r>
        <w:rPr>
          <w:rFonts w:hint="eastAsia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ind w:left="0" w:leftChars="0" w:firstLine="480" w:firstLineChars="200"/>
        <w:rPr>
          <w:rFonts w:hint="eastAsia"/>
          <w:lang w:val="en-US" w:eastAsia="zh-CN"/>
        </w:rPr>
      </w:pPr>
      <w:r>
        <w:rPr>
          <w:rFonts w:hint="eastAsia" w:ascii="Calibri" w:hAnsi="Calibri" w:eastAsia="宋体" w:cs="宋体"/>
          <w:snapToGrid w:val="0"/>
          <w:sz w:val="24"/>
          <w:szCs w:val="24"/>
          <w:lang w:bidi="ar"/>
        </w:rPr>
        <w:t>尽可能用无声或噪声低的机械工具代替有声高噪声的机械工具</w:t>
      </w:r>
      <w:r>
        <w:rPr>
          <w:rFonts w:hint="eastAsia" w:cs="宋体"/>
          <w:snapToGrid w:val="0"/>
          <w:sz w:val="24"/>
          <w:szCs w:val="24"/>
          <w:lang w:eastAsia="zh-CN" w:bidi="ar"/>
        </w:rPr>
        <w:t>。并</w:t>
      </w:r>
      <w:r>
        <w:rPr>
          <w:rFonts w:hint="eastAsia" w:ascii="Calibri" w:hAnsi="Calibri" w:eastAsia="宋体" w:cs="宋体"/>
          <w:snapToGrid w:val="0"/>
          <w:sz w:val="24"/>
          <w:szCs w:val="24"/>
          <w:lang w:bidi="ar"/>
        </w:rPr>
        <w:t>采取适当的消声措施</w:t>
      </w:r>
      <w:r>
        <w:rPr>
          <w:rFonts w:hint="eastAsia" w:cs="宋体"/>
          <w:snapToGrid w:val="0"/>
          <w:sz w:val="24"/>
          <w:szCs w:val="24"/>
          <w:lang w:eastAsia="zh-CN" w:bidi="ar"/>
        </w:rPr>
        <w:t>，以</w:t>
      </w:r>
      <w:r>
        <w:rPr>
          <w:rFonts w:hint="eastAsia" w:ascii="Calibri" w:hAnsi="Calibri" w:eastAsia="宋体" w:cs="宋体"/>
          <w:snapToGrid w:val="0"/>
          <w:sz w:val="24"/>
          <w:szCs w:val="24"/>
          <w:lang w:bidi="ar"/>
        </w:rPr>
        <w:t>达到消声、吸声、隔音、阻尼、隔振的效果</w:t>
      </w:r>
      <w:r>
        <w:rPr>
          <w:rFonts w:hint="eastAsia" w:cs="宋体"/>
          <w:snapToGrid w:val="0"/>
          <w:sz w:val="24"/>
          <w:szCs w:val="24"/>
          <w:lang w:eastAsia="zh-CN" w:bidi="ar"/>
        </w:rPr>
        <w:t>。</w:t>
      </w:r>
    </w:p>
    <w:p>
      <w:pPr>
        <w:pStyle w:val="2"/>
        <w:numPr>
          <w:ilvl w:val="0"/>
          <w:numId w:val="1"/>
        </w:numPr>
        <w:ind w:left="0" w:leftChars="0" w:firstLine="480" w:firstLineChars="200"/>
        <w:rPr>
          <w:rFonts w:hint="eastAsia"/>
          <w:lang w:val="en-US" w:eastAsia="zh-CN"/>
        </w:rPr>
      </w:pPr>
      <w:r>
        <w:rPr>
          <w:rFonts w:hint="eastAsia"/>
        </w:rPr>
        <w:t>运输容易散落、飞扬、流漏的物料的车辆，采取措施封闭严密，保证车辆清洁。对易产生扬尘的堆放材料采取覆盖措施</w:t>
      </w:r>
      <w:r>
        <w:rPr>
          <w:rFonts w:hint="eastAsia"/>
          <w:lang w:eastAsia="zh-CN"/>
        </w:rPr>
        <w:t>，</w:t>
      </w:r>
      <w:r>
        <w:rPr>
          <w:rFonts w:hint="eastAsia"/>
        </w:rPr>
        <w:t>粉末状材料封闭存放</w:t>
      </w:r>
      <w:r>
        <w:rPr>
          <w:rFonts w:hint="eastAsia"/>
          <w:lang w:eastAsia="zh-CN"/>
        </w:rPr>
        <w:t>。</w:t>
      </w:r>
      <w:r>
        <w:rPr>
          <w:rFonts w:hint="eastAsia"/>
          <w:sz w:val="24"/>
          <w:szCs w:val="24"/>
        </w:rPr>
        <w:t>配备专用洒水车，对施工现场和运输道路经常进行洒水湿润，减少扬尘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</w:rPr>
        <w:t>施工现场出口设置洗车槽</w:t>
      </w:r>
      <w:r>
        <w:rPr>
          <w:rFonts w:hint="eastAsia"/>
          <w:lang w:eastAsia="zh-CN"/>
        </w:rPr>
        <w:t>。</w:t>
      </w:r>
    </w:p>
    <w:p>
      <w:pPr>
        <w:pStyle w:val="2"/>
        <w:numPr>
          <w:ilvl w:val="0"/>
          <w:numId w:val="1"/>
        </w:numPr>
        <w:ind w:left="0" w:leftChars="0" w:firstLine="520" w:firstLineChars="200"/>
        <w:rPr>
          <w:rFonts w:hint="eastAsia"/>
          <w:lang w:val="en-US" w:eastAsia="zh-CN"/>
        </w:rPr>
      </w:pPr>
      <w:r>
        <w:rPr>
          <w:rFonts w:hint="eastAsia" w:ascii="宋体" w:hAnsi="宋体"/>
          <w:spacing w:val="10"/>
          <w:sz w:val="24"/>
        </w:rPr>
        <w:t>施工废料应经常清理并及时转运出场。在转运过程中，采取防漏撒、防飞扬措施</w:t>
      </w:r>
      <w:r>
        <w:rPr>
          <w:rFonts w:hint="eastAsia" w:ascii="宋体" w:hAnsi="宋体"/>
          <w:spacing w:val="10"/>
          <w:sz w:val="24"/>
          <w:lang w:eastAsia="zh-CN"/>
        </w:rPr>
        <w:t>。</w:t>
      </w:r>
    </w:p>
    <w:p>
      <w:pPr>
        <w:pStyle w:val="2"/>
        <w:numPr>
          <w:ilvl w:val="0"/>
          <w:numId w:val="1"/>
        </w:numPr>
        <w:ind w:left="0" w:leftChars="0" w:firstLine="480" w:firstLineChars="200"/>
        <w:rPr>
          <w:rFonts w:hint="eastAsia"/>
          <w:lang w:val="en-US" w:eastAsia="zh-CN"/>
        </w:rPr>
      </w:pPr>
      <w:r>
        <w:rPr>
          <w:rFonts w:hint="eastAsia"/>
          <w:sz w:val="24"/>
          <w:szCs w:val="24"/>
        </w:rPr>
        <w:t>对汽油等易挥发品的存放要密闭，并尽量缩短开启时间。</w:t>
      </w:r>
    </w:p>
    <w:p>
      <w:pPr>
        <w:pStyle w:val="2"/>
        <w:numPr>
          <w:ilvl w:val="0"/>
          <w:numId w:val="1"/>
        </w:numPr>
        <w:ind w:left="0" w:leftChars="0" w:firstLine="520" w:firstLineChars="200"/>
        <w:rPr>
          <w:rFonts w:hint="eastAsia"/>
          <w:lang w:val="en-US" w:eastAsia="zh-CN"/>
        </w:rPr>
      </w:pPr>
      <w:r>
        <w:rPr>
          <w:rFonts w:hint="eastAsia" w:ascii="宋体" w:hAnsi="宋体"/>
          <w:spacing w:val="10"/>
          <w:sz w:val="24"/>
        </w:rPr>
        <w:t>为减少大气污染，使用柴油、汽油的机械设备、车辆，应尽量使用无铅汽油或优质柴油做燃料</w:t>
      </w:r>
      <w:r>
        <w:rPr>
          <w:rFonts w:hint="eastAsia" w:ascii="宋体" w:hAnsi="宋体"/>
          <w:spacing w:val="10"/>
          <w:sz w:val="24"/>
          <w:lang w:eastAsia="zh-CN"/>
        </w:rPr>
        <w:t>。</w:t>
      </w:r>
    </w:p>
    <w:p>
      <w:pPr>
        <w:pStyle w:val="2"/>
        <w:numPr>
          <w:ilvl w:val="0"/>
          <w:numId w:val="1"/>
        </w:numPr>
        <w:ind w:left="0" w:leftChars="0" w:firstLine="48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设置污水沉淀池及化粪池</w:t>
      </w:r>
      <w:r>
        <w:rPr>
          <w:rFonts w:hint="eastAsia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排水沟用复合盖板遮蔽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办公生活区采用暗沟排水，与主排水沟连通，形成整体排水网络，排入污水沉淀池，经沉淀消毒后排放，沉淀池杂物及化粪池安排专人定时清理。设置隔油池，含油污水经隔油池处理后进入污水处理系统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。</w:t>
      </w:r>
    </w:p>
    <w:p>
      <w:bookmarkStart w:id="0" w:name="_GoBack"/>
      <w:bookmarkEnd w:id="0"/>
    </w:p>
    <w:sectPr>
      <w:pgSz w:w="11906" w:h="16838"/>
      <w:pgMar w:top="1134" w:right="1418" w:bottom="1134" w:left="1588" w:header="851" w:footer="992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56D16D"/>
    <w:multiLevelType w:val="singleLevel"/>
    <w:tmpl w:val="0656D1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E7F55"/>
    <w:rsid w:val="02061BD3"/>
    <w:rsid w:val="074D236D"/>
    <w:rsid w:val="0DDD0B3B"/>
    <w:rsid w:val="112A7C3C"/>
    <w:rsid w:val="27AE6252"/>
    <w:rsid w:val="290D3280"/>
    <w:rsid w:val="485456C2"/>
    <w:rsid w:val="52A3229B"/>
    <w:rsid w:val="56AE1C7F"/>
    <w:rsid w:val="56FE7F55"/>
    <w:rsid w:val="5B26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42" w:firstLineChars="20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ind w:firstLine="0" w:firstLineChars="0"/>
      <w:jc w:val="left"/>
      <w:outlineLvl w:val="0"/>
    </w:pPr>
    <w:rPr>
      <w:rFonts w:eastAsia="华文中宋"/>
      <w:b/>
      <w:bCs/>
      <w:kern w:val="44"/>
      <w:sz w:val="30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napToGrid/>
      <w:spacing w:line="360" w:lineRule="auto"/>
      <w:ind w:firstLine="161" w:firstLineChars="50"/>
      <w:jc w:val="left"/>
      <w:outlineLvl w:val="1"/>
    </w:pPr>
    <w:rPr>
      <w:rFonts w:ascii="黑体" w:hAnsi="黑体" w:eastAsia="黑体" w:cs="宋体-方正超大字符集"/>
      <w:b/>
      <w:bCs/>
      <w:spacing w:val="11"/>
      <w:sz w:val="30"/>
      <w:szCs w:val="30"/>
    </w:rPr>
  </w:style>
  <w:style w:type="paragraph" w:styleId="5">
    <w:name w:val="heading 3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300" w:firstLineChars="100"/>
      <w:outlineLvl w:val="2"/>
    </w:pPr>
    <w:rPr>
      <w:rFonts w:ascii="黑体" w:hAnsi="黑体" w:eastAsia="黑体" w:cs="宋体-方正超大字符集"/>
      <w:b/>
      <w:bCs/>
      <w:spacing w:val="10"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utoSpaceDE w:val="0"/>
      <w:autoSpaceDN w:val="0"/>
      <w:adjustRightInd w:val="0"/>
      <w:spacing w:line="360" w:lineRule="auto"/>
      <w:ind w:firstLine="200" w:firstLineChars="200"/>
      <w:textAlignment w:val="baseline"/>
    </w:pPr>
    <w:rPr>
      <w:rFonts w:ascii="Calibri" w:hAnsi="Calibri" w:eastAsia="宋体" w:cs="Times New Roman"/>
      <w:kern w:val="0"/>
      <w:sz w:val="24"/>
      <w:szCs w:val="20"/>
    </w:rPr>
  </w:style>
  <w:style w:type="paragraph" w:styleId="6">
    <w:name w:val="toc 3"/>
    <w:basedOn w:val="1"/>
    <w:next w:val="1"/>
    <w:qFormat/>
    <w:uiPriority w:val="0"/>
    <w:pPr>
      <w:ind w:left="0" w:leftChars="0"/>
    </w:pPr>
  </w:style>
  <w:style w:type="paragraph" w:styleId="7">
    <w:name w:val="toc 1"/>
    <w:basedOn w:val="1"/>
    <w:next w:val="1"/>
    <w:qFormat/>
    <w:uiPriority w:val="0"/>
    <w:pPr>
      <w:ind w:firstLine="0" w:firstLineChars="0"/>
    </w:pPr>
    <w:rPr>
      <w:b/>
    </w:rPr>
  </w:style>
  <w:style w:type="paragraph" w:styleId="8">
    <w:name w:val="toc 2"/>
    <w:basedOn w:val="1"/>
    <w:next w:val="1"/>
    <w:qFormat/>
    <w:uiPriority w:val="0"/>
    <w:pPr>
      <w:ind w:left="0" w:leftChars="0" w:firstLine="321" w:firstLineChars="100"/>
    </w:pPr>
  </w:style>
  <w:style w:type="paragraph" w:customStyle="1" w:styleId="11">
    <w:name w:val="WPSOffice手动目录 1"/>
    <w:qFormat/>
    <w:uiPriority w:val="0"/>
    <w:pPr>
      <w:ind w:leftChars="0"/>
    </w:pPr>
    <w:rPr>
      <w:rFonts w:ascii="Calibri" w:hAnsi="Calibri" w:eastAsia="宋体" w:cs="Times New Roman"/>
      <w:sz w:val="20"/>
      <w:szCs w:val="20"/>
    </w:rPr>
  </w:style>
  <w:style w:type="paragraph" w:customStyle="1" w:styleId="12">
    <w:name w:val="WPSOffice手动目录 2"/>
    <w:qFormat/>
    <w:uiPriority w:val="0"/>
    <w:pPr>
      <w:ind w:leftChars="200"/>
    </w:pPr>
    <w:rPr>
      <w:rFonts w:ascii="Calibri" w:hAnsi="Calibri" w:eastAsia="宋体" w:cs="Times New Roman"/>
      <w:sz w:val="20"/>
      <w:szCs w:val="20"/>
    </w:rPr>
  </w:style>
  <w:style w:type="paragraph" w:customStyle="1" w:styleId="13">
    <w:name w:val="WPSOffice手动目录 3"/>
    <w:qFormat/>
    <w:uiPriority w:val="0"/>
    <w:pPr>
      <w:ind w:leftChars="400"/>
    </w:pPr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2021-01-16T02:14:00Z</dcterms:created>
  <dc:creator>麻 袋</dc:creator>
  <cp:lastModifiedBy>麻 袋</cp:lastModifiedBy>
  <cp:lastPrinted>2021-02-24T08:25:00Z</cp:lastPrinted>
  <dcterms:modified xsi:type="dcterms:W3CDTF">2021-11-25T10:54:46Z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5E0A3C4A90574A8B89B4017CD0FC5F63</vt:lpwstr>
  </property>
</Properties>
</file>