
<file path=[Content_Types].xml><?xml version="1.0" encoding="utf-8"?>
<Types xmlns="http://schemas.openxmlformats.org/package/2006/content-types">
  <Default Extension="xml" ContentType="application/xml"/>
  <Default Extension="emf" ContentType="image/x-e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pPr>
      <w:bookmarkStart w:id="0" w:name="_GoBack"/>
      <w:bookmarkEnd w:id="0"/>
      <w:r>
        <w:t>ZJJC01</w:t>
      </w:r>
      <w:r>
        <w:rPr>
          <w:rFonts w:hint="eastAsia" w:ascii="仿宋_GB2312" w:hAnsi="仿宋_GB2312" w:eastAsia="仿宋_GB2312" w:cs="仿宋_GB2312"/>
        </w:rPr>
        <w:t>-</w:t>
      </w:r>
      <w:r>
        <w:t>2023</w:t>
      </w:r>
      <w:r>
        <w:rPr>
          <w:rFonts w:hint="eastAsia" w:ascii="仿宋_GB2312" w:hAnsi="仿宋_GB2312" w:eastAsia="仿宋_GB2312" w:cs="仿宋_GB2312"/>
        </w:rPr>
        <w:t>-</w:t>
      </w:r>
      <w:r>
        <w:t>0007</w:t>
      </w:r>
      <w:r>
        <w:drawing>
          <wp:anchor distT="0" distB="0" distL="113665" distR="113665" simplePos="0" relativeHeight="251659264" behindDoc="1" locked="0" layoutInCell="1" allowOverlap="1">
            <wp:simplePos x="0" y="0"/>
            <wp:positionH relativeFrom="column">
              <wp:posOffset>0</wp:posOffset>
            </wp:positionH>
            <wp:positionV relativeFrom="paragraph">
              <wp:posOffset>28575</wp:posOffset>
            </wp:positionV>
            <wp:extent cx="5615940" cy="3135630"/>
            <wp:effectExtent l="0" t="0" r="0" b="0"/>
            <wp:wrapNone/>
            <wp:docPr id="1" name="_x0000_s106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_x0000_s1068"/>
                    <pic:cNvPicPr>
                      <a:picLocks noChangeAspect="true"/>
                    </pic:cNvPicPr>
                  </pic:nvPicPr>
                  <pic:blipFill>
                    <a:blip r:embed="rId6"/>
                    <a:stretch>
                      <a:fillRect/>
                    </a:stretch>
                  </pic:blipFill>
                  <pic:spPr>
                    <a:xfrm>
                      <a:off x="0" y="0"/>
                      <a:ext cx="5615940" cy="3135630"/>
                    </a:xfrm>
                    <a:prstGeom prst="rect">
                      <a:avLst/>
                    </a:prstGeom>
                    <a:noFill/>
                    <a:ln w="9525" cap="flat" cmpd="sng">
                      <a:noFill/>
                      <a:prstDash val="solid"/>
                      <a:miter/>
                    </a:ln>
                  </pic:spPr>
                </pic:pic>
              </a:graphicData>
            </a:graphic>
          </wp:anchor>
        </w:drawing>
      </w:r>
    </w:p>
    <w:p>
      <w:pPr>
        <w:spacing w:line="600" w:lineRule="exact"/>
        <w:jc w:val="left"/>
      </w:pPr>
    </w:p>
    <w:p>
      <w:pPr>
        <w:spacing w:line="600" w:lineRule="exact"/>
        <w:jc w:val="left"/>
      </w:pPr>
    </w:p>
    <w:p>
      <w:pPr>
        <w:spacing w:line="600" w:lineRule="exact"/>
        <w:jc w:val="left"/>
      </w:pPr>
    </w:p>
    <w:p>
      <w:pPr>
        <w:spacing w:line="600" w:lineRule="exact"/>
        <w:jc w:val="left"/>
      </w:pPr>
    </w:p>
    <w:p>
      <w:pPr>
        <w:spacing w:line="600" w:lineRule="exact"/>
        <w:jc w:val="left"/>
        <w:rPr>
          <w:rFonts w:ascii="方正小标宋简体" w:eastAsia="方正小标宋简体"/>
          <w:color w:val="000000"/>
          <w:sz w:val="84"/>
        </w:rPr>
      </w:pPr>
    </w:p>
    <w:p>
      <w:pPr>
        <w:spacing w:line="540" w:lineRule="exact"/>
        <w:jc w:val="left"/>
      </w:pPr>
    </w:p>
    <w:p>
      <w:pPr>
        <w:tabs>
          <w:tab w:val="left" w:pos="2528"/>
          <w:tab w:val="left" w:pos="2844"/>
          <w:tab w:val="left" w:pos="7584"/>
          <w:tab w:val="left" w:pos="8374"/>
          <w:tab w:val="left" w:pos="8532"/>
        </w:tabs>
        <w:spacing w:line="600" w:lineRule="exact"/>
        <w:jc w:val="center"/>
      </w:pPr>
      <w:r>
        <w:rPr>
          <w:rFonts w:hint="eastAsia"/>
        </w:rPr>
        <w:t>台政办发〔</w:t>
      </w:r>
      <w:r>
        <w:t>20</w:t>
      </w:r>
      <w:r>
        <w:rPr>
          <w:rFonts w:hint="eastAsia"/>
        </w:rPr>
        <w:t>23〕</w:t>
      </w:r>
      <w:r>
        <w:rPr>
          <w:rFonts w:hint="eastAsia"/>
          <w:lang w:val="en-US" w:eastAsia="zh-CN"/>
        </w:rPr>
        <w:t>29</w:t>
      </w:r>
      <w:r>
        <w:rPr>
          <w:rFonts w:hint="eastAsia"/>
        </w:rPr>
        <w:t>号</w:t>
      </w:r>
    </w:p>
    <w:p>
      <w:pPr>
        <w:spacing w:line="600" w:lineRule="exact"/>
      </w:pP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eastAsia="方正小标宋简体"/>
          <w:bCs/>
          <w:sz w:val="44"/>
          <w:szCs w:val="44"/>
        </w:rPr>
      </w:pPr>
      <w:r>
        <w:rPr>
          <w:rFonts w:hint="eastAsia" w:ascii="方正小标宋简体" w:eastAsia="方正小标宋简体"/>
          <w:bCs/>
          <w:sz w:val="44"/>
          <w:szCs w:val="44"/>
        </w:rPr>
        <w:t>台</w:t>
      </w:r>
      <w:r>
        <w:rPr>
          <w:rFonts w:ascii="方正小标宋简体" w:eastAsia="方正小标宋简体"/>
          <w:bCs/>
          <w:sz w:val="44"/>
          <w:szCs w:val="44"/>
        </w:rPr>
        <w:t>州市人民政府办公室关于印发</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eastAsia="方正小标宋简体"/>
          <w:bCs/>
          <w:sz w:val="44"/>
          <w:szCs w:val="44"/>
        </w:rPr>
      </w:pPr>
      <w:r>
        <w:rPr>
          <w:rFonts w:ascii="方正小标宋简体" w:eastAsia="方正小标宋简体"/>
          <w:bCs/>
          <w:sz w:val="44"/>
          <w:szCs w:val="44"/>
        </w:rPr>
        <w:t>推进全市基本养老服务体系建设实施方案</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ascii="方正小标宋简体" w:eastAsia="方正小标宋简体"/>
          <w:bCs/>
          <w:sz w:val="44"/>
          <w:szCs w:val="44"/>
        </w:rPr>
        <w:t>的通知</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szCs w:val="32"/>
        </w:rPr>
      </w:pPr>
    </w:p>
    <w:p>
      <w:pPr>
        <w:pStyle w:val="14"/>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ascii="Times New Roman" w:eastAsia="仿宋_GB2312"/>
          <w:kern w:val="2"/>
          <w:sz w:val="32"/>
          <w:szCs w:val="30"/>
        </w:rPr>
      </w:pPr>
      <w:r>
        <w:rPr>
          <w:rFonts w:ascii="Times New Roman" w:eastAsia="仿宋_GB2312"/>
          <w:color w:val="auto"/>
          <w:kern w:val="2"/>
          <w:sz w:val="32"/>
          <w:szCs w:val="30"/>
        </w:rPr>
        <w:t>各县（市、区）人民政府，</w:t>
      </w:r>
      <w:r>
        <w:rPr>
          <w:rFonts w:hint="eastAsia" w:ascii="Times New Roman" w:eastAsia="仿宋_GB2312"/>
          <w:color w:val="auto"/>
          <w:kern w:val="2"/>
          <w:sz w:val="32"/>
          <w:szCs w:val="30"/>
        </w:rPr>
        <w:t>市政府直属各单位</w:t>
      </w:r>
      <w:r>
        <w:rPr>
          <w:rFonts w:ascii="Times New Roman" w:eastAsia="仿宋_GB2312"/>
          <w:color w:val="auto"/>
          <w:kern w:val="2"/>
          <w:sz w:val="32"/>
          <w:szCs w:val="30"/>
        </w:rPr>
        <w:t>：</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ascii="Times New Roman" w:eastAsia="仿宋_GB2312"/>
          <w:kern w:val="2"/>
          <w:sz w:val="32"/>
          <w:szCs w:val="30"/>
        </w:rPr>
      </w:pPr>
      <w:r>
        <w:rPr>
          <w:rFonts w:ascii="Times New Roman" w:eastAsia="仿宋_GB2312"/>
          <w:color w:val="auto"/>
          <w:kern w:val="2"/>
          <w:sz w:val="32"/>
          <w:szCs w:val="30"/>
        </w:rPr>
        <w:t>《推进全市基本养老服务体系建设实施方案》已经市政府同意，现印发给你们，请认真组织实施。</w:t>
      </w:r>
    </w:p>
    <w:p>
      <w:pPr>
        <w:pStyle w:val="14"/>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ascii="Times New Roman" w:eastAsia="仿宋_GB2312"/>
          <w:kern w:val="2"/>
          <w:sz w:val="32"/>
          <w:szCs w:val="30"/>
        </w:rPr>
      </w:pPr>
    </w:p>
    <w:p>
      <w:pPr>
        <w:pStyle w:val="14"/>
        <w:keepNext w:val="0"/>
        <w:keepLines w:val="0"/>
        <w:pageBreakBefore w:val="0"/>
        <w:kinsoku/>
        <w:wordWrap/>
        <w:overflowPunct/>
        <w:topLinePunct w:val="0"/>
        <w:autoSpaceDE/>
        <w:autoSpaceDN/>
        <w:bidi w:val="0"/>
        <w:adjustRightInd/>
        <w:snapToGrid/>
        <w:spacing w:before="0" w:beforeAutospacing="0" w:after="0" w:afterAutospacing="0" w:line="600" w:lineRule="exact"/>
        <w:ind w:right="1264" w:rightChars="400"/>
        <w:jc w:val="both"/>
        <w:textAlignment w:val="auto"/>
        <w:rPr>
          <w:rFonts w:ascii="Times New Roman" w:eastAsia="仿宋_GB2312"/>
          <w:kern w:val="2"/>
          <w:sz w:val="32"/>
          <w:szCs w:val="30"/>
        </w:rPr>
      </w:pP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ascii="Times New Roman" w:eastAsia="仿宋_GB2312"/>
          <w:kern w:val="2"/>
          <w:sz w:val="32"/>
          <w:szCs w:val="30"/>
        </w:rPr>
      </w:pPr>
      <w:r>
        <w:rPr>
          <w:rFonts w:hint="eastAsia" w:ascii="Times New Roman" w:eastAsia="仿宋_GB2312"/>
          <w:color w:val="auto"/>
          <w:kern w:val="2"/>
          <w:sz w:val="32"/>
          <w:szCs w:val="30"/>
          <w:lang w:val="en-US" w:eastAsia="zh-CN"/>
        </w:rPr>
        <w:t xml:space="preserve">                              </w:t>
      </w:r>
      <w:r>
        <w:rPr>
          <w:rFonts w:ascii="Times New Roman" w:eastAsia="仿宋_GB2312"/>
          <w:color w:val="auto"/>
          <w:kern w:val="2"/>
          <w:sz w:val="32"/>
          <w:szCs w:val="30"/>
        </w:rPr>
        <w:t>台州市人民政府办公室</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1264" w:rightChars="400"/>
        <w:jc w:val="right"/>
        <w:textAlignment w:val="auto"/>
        <w:rPr>
          <w:rFonts w:ascii="Times New Roman" w:eastAsia="仿宋_GB2312"/>
          <w:color w:val="auto"/>
          <w:kern w:val="2"/>
          <w:sz w:val="32"/>
          <w:szCs w:val="30"/>
        </w:rPr>
      </w:pPr>
      <w:r>
        <w:rPr>
          <w:rFonts w:ascii="Times New Roman" w:eastAsia="仿宋_GB2312"/>
          <w:color w:val="auto"/>
          <w:kern w:val="2"/>
          <w:sz w:val="32"/>
          <w:szCs w:val="30"/>
        </w:rPr>
        <w:t>2023年</w:t>
      </w:r>
      <w:r>
        <w:rPr>
          <w:rFonts w:hint="eastAsia" w:ascii="Times New Roman" w:eastAsia="仿宋_GB2312"/>
          <w:color w:val="auto"/>
          <w:kern w:val="2"/>
          <w:sz w:val="32"/>
          <w:szCs w:val="30"/>
          <w:lang w:val="en-US" w:eastAsia="zh-CN"/>
        </w:rPr>
        <w:t>7</w:t>
      </w:r>
      <w:r>
        <w:rPr>
          <w:rFonts w:ascii="Times New Roman" w:eastAsia="仿宋_GB2312"/>
          <w:color w:val="auto"/>
          <w:kern w:val="2"/>
          <w:sz w:val="32"/>
          <w:szCs w:val="30"/>
        </w:rPr>
        <w:t>月</w:t>
      </w:r>
      <w:r>
        <w:rPr>
          <w:rFonts w:hint="eastAsia" w:ascii="Times New Roman" w:eastAsia="仿宋_GB2312"/>
          <w:color w:val="auto"/>
          <w:kern w:val="2"/>
          <w:sz w:val="32"/>
          <w:szCs w:val="30"/>
          <w:lang w:val="en-US" w:eastAsia="zh-CN"/>
        </w:rPr>
        <w:t>27</w:t>
      </w:r>
      <w:r>
        <w:rPr>
          <w:rFonts w:ascii="Times New Roman" w:eastAsia="仿宋_GB2312"/>
          <w:color w:val="auto"/>
          <w:kern w:val="2"/>
          <w:sz w:val="32"/>
          <w:szCs w:val="30"/>
        </w:rPr>
        <w:t>日</w:t>
      </w:r>
    </w:p>
    <w:p>
      <w:pPr>
        <w:pStyle w:val="1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32" w:firstLineChars="200"/>
        <w:jc w:val="both"/>
        <w:textAlignment w:val="auto"/>
        <w:rPr>
          <w:rFonts w:ascii="Times New Roman" w:eastAsia="仿宋_GB2312"/>
          <w:kern w:val="2"/>
          <w:sz w:val="32"/>
          <w:szCs w:val="30"/>
        </w:rPr>
      </w:pPr>
      <w:r>
        <w:rPr>
          <w:rFonts w:hint="eastAsia" w:ascii="Times New Roman" w:eastAsia="仿宋_GB2312"/>
          <w:kern w:val="2"/>
          <w:sz w:val="32"/>
          <w:szCs w:val="30"/>
        </w:rPr>
        <w:t>（此件公开发布）</w:t>
      </w:r>
    </w:p>
    <w:p>
      <w:pPr>
        <w:spacing w:line="600" w:lineRule="exact"/>
        <w:jc w:val="center"/>
        <w:rPr>
          <w:rFonts w:ascii="方正小标宋简体" w:eastAsia="方正小标宋简体"/>
          <w:bCs/>
          <w:sz w:val="44"/>
          <w:szCs w:val="44"/>
        </w:rPr>
      </w:pPr>
      <w:r>
        <w:rPr>
          <w:rFonts w:ascii="方正小标宋简体" w:eastAsia="方正小标宋简体"/>
          <w:bCs/>
          <w:sz w:val="44"/>
          <w:szCs w:val="44"/>
        </w:rPr>
        <w:t>推进全市基本养老服务体系建设实施方案</w:t>
      </w:r>
    </w:p>
    <w:p>
      <w:pPr>
        <w:overflowPunct w:val="0"/>
        <w:spacing w:line="600" w:lineRule="exact"/>
        <w:ind w:firstLine="632" w:firstLineChars="200"/>
        <w:rPr>
          <w:color w:val="000000"/>
          <w:szCs w:val="32"/>
        </w:rPr>
      </w:pPr>
    </w:p>
    <w:p>
      <w:pPr>
        <w:overflowPunct w:val="0"/>
        <w:spacing w:line="600" w:lineRule="exact"/>
        <w:ind w:firstLine="632" w:firstLineChars="200"/>
        <w:rPr>
          <w:color w:val="000000"/>
          <w:szCs w:val="32"/>
        </w:rPr>
      </w:pPr>
      <w:r>
        <w:rPr>
          <w:color w:val="000000"/>
          <w:szCs w:val="32"/>
        </w:rPr>
        <w:t>为贯彻落实《中共中央办公厅国务院办公厅印发&lt;关于推进基本养老服务体系建设的意见&gt;的通知》（中办发〔2022〕42号）和《浙江省人民政府办公厅关于加快建设基本养老服务体系的实施意见》（浙政办发〔2022〕71号）精神，推进我市基本养老服务体系建设，更好保障老年人生活，</w:t>
      </w:r>
      <w:r>
        <w:rPr>
          <w:szCs w:val="32"/>
        </w:rPr>
        <w:t>结合我市实际，特制定本实施方案</w:t>
      </w:r>
      <w:r>
        <w:rPr>
          <w:color w:val="000000"/>
          <w:szCs w:val="32"/>
        </w:rPr>
        <w:t>。</w:t>
      </w:r>
    </w:p>
    <w:p>
      <w:pPr>
        <w:pStyle w:val="11"/>
        <w:spacing w:line="600" w:lineRule="exact"/>
        <w:ind w:firstLine="632" w:firstLineChars="200"/>
        <w:jc w:val="both"/>
        <w:rPr>
          <w:rFonts w:eastAsia="黑体"/>
          <w:color w:val="000000"/>
          <w:sz w:val="32"/>
          <w:szCs w:val="32"/>
        </w:rPr>
      </w:pPr>
      <w:r>
        <w:rPr>
          <w:rFonts w:eastAsia="黑体"/>
          <w:color w:val="000000"/>
          <w:sz w:val="32"/>
          <w:szCs w:val="32"/>
        </w:rPr>
        <w:t>一、总体要求</w:t>
      </w:r>
    </w:p>
    <w:p>
      <w:pPr>
        <w:overflowPunct w:val="0"/>
        <w:spacing w:line="600" w:lineRule="exact"/>
        <w:ind w:firstLine="632" w:firstLineChars="200"/>
        <w:rPr>
          <w:color w:val="000000"/>
          <w:szCs w:val="32"/>
        </w:rPr>
      </w:pPr>
      <w:r>
        <w:rPr>
          <w:rFonts w:hint="eastAsia" w:ascii="仿宋_GB2312"/>
          <w:color w:val="000000"/>
          <w:szCs w:val="32"/>
        </w:rPr>
        <w:t>以习近平新时代中国特色社会主义思想为指导，深入贯彻党的二十大精神，落实党中央国务院、省委省政府关于基本养老服务体系建设的决策部署，坚持基础性、普惠性、共担性、系统性原则，加快建成权责清晰、保障适度、可持续的基本养老服务体系，</w:t>
      </w:r>
      <w:r>
        <w:rPr>
          <w:rFonts w:hint="eastAsia" w:ascii="仿宋_GB2312"/>
          <w:szCs w:val="32"/>
        </w:rPr>
        <w:t>加快推进“老有康养”公共服务优享，</w:t>
      </w:r>
      <w:r>
        <w:rPr>
          <w:rFonts w:hint="eastAsia" w:ascii="仿宋_GB2312"/>
          <w:color w:val="000000"/>
          <w:szCs w:val="32"/>
        </w:rPr>
        <w:t>让全市老年人共享有保障有质量有活力的美好生活。到</w:t>
      </w:r>
      <w:r>
        <w:rPr>
          <w:color w:val="000000"/>
          <w:szCs w:val="32"/>
        </w:rPr>
        <w:t>2025年</w:t>
      </w:r>
      <w:r>
        <w:rPr>
          <w:rFonts w:hint="eastAsia" w:ascii="仿宋_GB2312"/>
          <w:color w:val="000000"/>
          <w:szCs w:val="32"/>
        </w:rPr>
        <w:t>，“居家＋社区机构＋智慧养老”家门口养老模式基本形成，基本养老服务覆盖全体老年人，服务供给、服务保障、服务监管等机制健全完善，老年人都能够享受到方便可及、城乡均衡、优质共享的基本养老服务</w:t>
      </w:r>
      <w:r>
        <w:rPr>
          <w:color w:val="000000"/>
          <w:szCs w:val="32"/>
        </w:rPr>
        <w:t>。</w:t>
      </w:r>
    </w:p>
    <w:p>
      <w:pPr>
        <w:overflowPunct w:val="0"/>
        <w:spacing w:line="600" w:lineRule="exact"/>
        <w:ind w:firstLine="632" w:firstLineChars="200"/>
        <w:rPr>
          <w:rFonts w:eastAsia="黑体"/>
          <w:color w:val="000000"/>
          <w:szCs w:val="32"/>
        </w:rPr>
      </w:pPr>
      <w:r>
        <w:rPr>
          <w:rFonts w:eastAsia="黑体"/>
          <w:color w:val="000000"/>
          <w:szCs w:val="32"/>
        </w:rPr>
        <w:t>二、重点工作</w:t>
      </w:r>
    </w:p>
    <w:p>
      <w:pPr>
        <w:overflowPunct w:val="0"/>
        <w:spacing w:line="600" w:lineRule="exact"/>
        <w:ind w:firstLine="632" w:firstLineChars="200"/>
        <w:rPr>
          <w:rFonts w:eastAsia="楷体_GB2312"/>
          <w:color w:val="000000"/>
          <w:szCs w:val="32"/>
        </w:rPr>
      </w:pPr>
      <w:r>
        <w:rPr>
          <w:rFonts w:eastAsia="楷体_GB2312"/>
          <w:color w:val="000000"/>
          <w:szCs w:val="32"/>
        </w:rPr>
        <w:t>（一）建立基本养老服务制度体系。</w:t>
      </w:r>
    </w:p>
    <w:p>
      <w:pPr>
        <w:overflowPunct w:val="0"/>
        <w:spacing w:line="600" w:lineRule="exact"/>
        <w:ind w:firstLine="632" w:firstLineChars="200"/>
        <w:rPr>
          <w:color w:val="000000"/>
          <w:szCs w:val="32"/>
        </w:rPr>
      </w:pPr>
      <w:r>
        <w:rPr>
          <w:color w:val="000000"/>
          <w:szCs w:val="32"/>
        </w:rPr>
        <w:t>1.</w:t>
      </w:r>
      <w:r>
        <w:rPr>
          <w:rFonts w:hint="eastAsia"/>
          <w:color w:val="000000"/>
          <w:szCs w:val="32"/>
        </w:rPr>
        <w:t xml:space="preserve"> </w:t>
      </w:r>
      <w:r>
        <w:rPr>
          <w:color w:val="000000"/>
          <w:szCs w:val="32"/>
        </w:rPr>
        <w:t>制定落实基本养老服务清单。各地各有关部门要严格落实《台州市基本养老服务清单》。各县（市、区）要在市清单基础上</w:t>
      </w:r>
      <w:r>
        <w:rPr>
          <w:rFonts w:hint="eastAsia" w:ascii="仿宋_GB2312"/>
          <w:color w:val="000000"/>
          <w:szCs w:val="32"/>
        </w:rPr>
        <w:t>进一步细化清单、推进落实，服务项目、覆盖范围和实现程度不得低于省市要求，并根据经济社会发展动态调整。（责任单位：市“老有康养”专项工作专班成员单位</w:t>
      </w:r>
      <w:r>
        <w:rPr>
          <w:color w:val="000000"/>
          <w:szCs w:val="32"/>
        </w:rPr>
        <w:t>，各县&lt;市、区&gt;政府。以下均需各县&lt;市、区&gt;政府落实，不再列出）</w:t>
      </w:r>
    </w:p>
    <w:p>
      <w:pPr>
        <w:overflowPunct w:val="0"/>
        <w:spacing w:line="600" w:lineRule="exact"/>
        <w:ind w:firstLine="632" w:firstLineChars="200"/>
        <w:rPr>
          <w:color w:val="000000"/>
          <w:szCs w:val="32"/>
        </w:rPr>
      </w:pPr>
      <w:r>
        <w:rPr>
          <w:color w:val="000000"/>
          <w:szCs w:val="32"/>
        </w:rPr>
        <w:t>2.</w:t>
      </w:r>
      <w:r>
        <w:rPr>
          <w:rFonts w:hint="eastAsia"/>
          <w:color w:val="000000"/>
          <w:szCs w:val="32"/>
        </w:rPr>
        <w:t xml:space="preserve"> </w:t>
      </w:r>
      <w:r>
        <w:rPr>
          <w:color w:val="000000"/>
          <w:szCs w:val="32"/>
        </w:rPr>
        <w:t>建立精准服务主动响应机制。常态化开展老年人能力综合评估，80周岁及以上老年人每年、80周岁以下老年人每两年可免</w:t>
      </w:r>
      <w:r>
        <w:rPr>
          <w:rFonts w:hint="eastAsia" w:ascii="仿宋_GB2312"/>
          <w:color w:val="000000"/>
          <w:szCs w:val="32"/>
        </w:rPr>
        <w:t>费评估一次。依托“浙里康养”和“老省心”数字化应用，加强老年人医保、社保、健康状况以及困难家庭老年人经济状况等数据共享，建立老年人精准识别和动态管理机制，实现老年人精准画像基础上的分类型保障。（责任单位：市“老有康养”专项工作专班成员单位）</w:t>
      </w:r>
    </w:p>
    <w:p>
      <w:pPr>
        <w:overflowPunct w:val="0"/>
        <w:spacing w:line="600" w:lineRule="exact"/>
        <w:ind w:firstLine="632" w:firstLineChars="200"/>
        <w:rPr>
          <w:rFonts w:ascii="仿宋_GB2312"/>
          <w:color w:val="000000"/>
          <w:szCs w:val="32"/>
        </w:rPr>
      </w:pPr>
      <w:r>
        <w:rPr>
          <w:color w:val="000000"/>
          <w:szCs w:val="32"/>
        </w:rPr>
        <w:t>3.</w:t>
      </w:r>
      <w:r>
        <w:rPr>
          <w:rFonts w:hint="eastAsia"/>
          <w:color w:val="000000"/>
          <w:szCs w:val="32"/>
        </w:rPr>
        <w:t xml:space="preserve"> </w:t>
      </w:r>
      <w:r>
        <w:rPr>
          <w:color w:val="000000"/>
          <w:szCs w:val="32"/>
        </w:rPr>
        <w:t>健全基本养老服务保障机制。</w:t>
      </w:r>
      <w:r>
        <w:rPr>
          <w:rFonts w:hint="eastAsia"/>
          <w:color w:val="000000"/>
          <w:szCs w:val="32"/>
          <w:lang w:eastAsia="zh-CN"/>
        </w:rPr>
        <w:t>各级政府应当</w:t>
      </w:r>
      <w:r>
        <w:rPr>
          <w:color w:val="000000"/>
          <w:szCs w:val="32"/>
        </w:rPr>
        <w:t>按照养老领域资金分担支出责任，落实资金统筹保障基本养老服务。优化运营补助政策，支持基本养老服务供给。培育孵化本地居家社区养老服务企业，鼓励社会力量参与提供基本养老服务。面向台州户籍80周岁以上老年人精准发放高龄津贴，每人每月不低于60元，90周岁以上老</w:t>
      </w:r>
      <w:r>
        <w:rPr>
          <w:rFonts w:hint="eastAsia" w:ascii="仿宋_GB2312"/>
          <w:color w:val="000000"/>
          <w:szCs w:val="32"/>
        </w:rPr>
        <w:t>年人可适当提高标准，县域范围城乡同质同标，并根据经济社会发展水平适时调整。推行养老服务“爱心卡”，用于老年人购买助餐、助浴、助洁、助行、助医、助急等养老服务。</w:t>
      </w:r>
      <w:r>
        <w:rPr>
          <w:color w:val="000000"/>
          <w:szCs w:val="32"/>
        </w:rPr>
        <w:t>（责任单位：市</w:t>
      </w:r>
      <w:r>
        <w:rPr>
          <w:rFonts w:hint="eastAsia" w:ascii="仿宋_GB2312"/>
          <w:color w:val="000000"/>
          <w:szCs w:val="32"/>
        </w:rPr>
        <w:t>“老有康养”专项工作专班成员单位）</w:t>
      </w:r>
    </w:p>
    <w:p>
      <w:pPr>
        <w:overflowPunct w:val="0"/>
        <w:spacing w:line="600" w:lineRule="exact"/>
        <w:ind w:firstLine="632" w:firstLineChars="200"/>
        <w:rPr>
          <w:rFonts w:eastAsia="楷体_GB2312"/>
          <w:color w:val="000000"/>
          <w:szCs w:val="32"/>
        </w:rPr>
      </w:pPr>
      <w:r>
        <w:rPr>
          <w:rFonts w:eastAsia="楷体_GB2312"/>
          <w:color w:val="000000"/>
          <w:szCs w:val="32"/>
        </w:rPr>
        <w:t>（二）优化养老服务网络。</w:t>
      </w:r>
    </w:p>
    <w:p>
      <w:pPr>
        <w:overflowPunct w:val="0"/>
        <w:spacing w:line="600" w:lineRule="exact"/>
        <w:ind w:firstLine="632" w:firstLineChars="200"/>
        <w:rPr>
          <w:color w:val="000000"/>
          <w:szCs w:val="32"/>
        </w:rPr>
      </w:pPr>
      <w:r>
        <w:rPr>
          <w:color w:val="000000"/>
          <w:szCs w:val="32"/>
        </w:rPr>
        <w:t>4.</w:t>
      </w:r>
      <w:r>
        <w:rPr>
          <w:rFonts w:hint="eastAsia"/>
          <w:color w:val="000000"/>
          <w:szCs w:val="32"/>
        </w:rPr>
        <w:t xml:space="preserve"> </w:t>
      </w:r>
      <w:r>
        <w:rPr>
          <w:color w:val="000000"/>
          <w:szCs w:val="32"/>
        </w:rPr>
        <w:t>加强养老服务设施规划。结合当地经济社会发展水平、老年人口分布状况和发展趋势等因素，严格按照人均用地不少于0.1平方米的标准，分区分级规划设置社区养老服务设施。2023年市</w:t>
      </w:r>
      <w:r>
        <w:rPr>
          <w:rFonts w:hint="eastAsia" w:ascii="仿宋_GB2312"/>
          <w:color w:val="000000"/>
          <w:szCs w:val="32"/>
        </w:rPr>
        <w:t>区和各县（市）分别完成养老服务设施专项规划编制，并将专项规划纳入国土空间详细规划，叠加到国土空间规划“一张图”。</w:t>
      </w:r>
      <w:r>
        <w:rPr>
          <w:color w:val="000000"/>
          <w:szCs w:val="32"/>
        </w:rPr>
        <w:t>（责任单位：市民政局、市自然资源规划局）</w:t>
      </w:r>
    </w:p>
    <w:p>
      <w:pPr>
        <w:spacing w:line="600" w:lineRule="exact"/>
        <w:ind w:firstLine="632" w:firstLineChars="200"/>
        <w:rPr>
          <w:color w:val="000000"/>
          <w:szCs w:val="32"/>
        </w:rPr>
      </w:pPr>
      <w:r>
        <w:rPr>
          <w:color w:val="000000"/>
          <w:szCs w:val="32"/>
        </w:rPr>
        <w:t>5.</w:t>
      </w:r>
      <w:r>
        <w:rPr>
          <w:rFonts w:hint="eastAsia"/>
          <w:color w:val="000000"/>
          <w:szCs w:val="32"/>
        </w:rPr>
        <w:t xml:space="preserve"> </w:t>
      </w:r>
      <w:r>
        <w:rPr>
          <w:color w:val="000000"/>
          <w:szCs w:val="32"/>
        </w:rPr>
        <w:t>完善居家养老服务设施。按照《台州市居家养老服务条例》规定标准配置居家养老服务用房。新建住宅小区落实同步规划、同步建设、同步验收、同步交付要求，统一交付乡镇（街道）使用。居家养老服务用房不达标的老旧小区和已建成居住区，通过改造补建、政府回购、租赁、置换等方式予以解决，自2023年起每年新增30处以上，2025年前实现社区全覆盖。未来社区（乡村）应当配建居家养老服务照料中心，鼓励建设小微型养老机构。（责任单位：市发展改革委、市民政局、市自然资源规划局、市建设局、市农业农村局）</w:t>
      </w:r>
    </w:p>
    <w:p>
      <w:pPr>
        <w:overflowPunct w:val="0"/>
        <w:spacing w:line="600" w:lineRule="exact"/>
        <w:ind w:firstLine="632" w:firstLineChars="200"/>
        <w:rPr>
          <w:color w:val="000000"/>
          <w:szCs w:val="32"/>
          <w:highlight w:val="yellow"/>
        </w:rPr>
      </w:pPr>
      <w:r>
        <w:rPr>
          <w:color w:val="000000"/>
          <w:szCs w:val="32"/>
        </w:rPr>
        <w:t>6.</w:t>
      </w:r>
      <w:r>
        <w:rPr>
          <w:rFonts w:hint="eastAsia"/>
          <w:color w:val="000000"/>
          <w:szCs w:val="32"/>
        </w:rPr>
        <w:t xml:space="preserve"> </w:t>
      </w:r>
      <w:r>
        <w:rPr>
          <w:color w:val="000000"/>
          <w:szCs w:val="32"/>
        </w:rPr>
        <w:t>推进老年助餐服务。采取多种形式开展助餐、配送餐服务，鼓励建设面向老年人的区域性食堂、中央厨房</w:t>
      </w:r>
      <w:r>
        <w:rPr>
          <w:rFonts w:hint="eastAsia"/>
          <w:color w:val="000000"/>
          <w:szCs w:val="32"/>
          <w:lang w:eastAsia="zh-CN"/>
        </w:rPr>
        <w:t>、</w:t>
      </w:r>
      <w:r>
        <w:rPr>
          <w:color w:val="000000"/>
          <w:szCs w:val="32"/>
        </w:rPr>
        <w:t>助餐点。未来社区（乡村）应当配建老年食堂。2023年全市新增助餐点位185个以上，建成</w:t>
      </w:r>
      <w:r>
        <w:rPr>
          <w:rFonts w:hint="eastAsia" w:ascii="仿宋_GB2312"/>
          <w:color w:val="000000"/>
          <w:szCs w:val="32"/>
        </w:rPr>
        <w:t>养老机构“阳光厨房”</w:t>
      </w:r>
      <w:r>
        <w:rPr>
          <w:color w:val="000000"/>
          <w:szCs w:val="32"/>
        </w:rPr>
        <w:t>100家以上。完善多元投入机制，实现助餐服务可持续。（责任单位：市民政局、市市场监管局）</w:t>
      </w:r>
    </w:p>
    <w:p>
      <w:pPr>
        <w:overflowPunct w:val="0"/>
        <w:spacing w:line="600" w:lineRule="exact"/>
        <w:ind w:firstLine="632" w:firstLineChars="200"/>
        <w:rPr>
          <w:color w:val="000000"/>
          <w:szCs w:val="32"/>
        </w:rPr>
      </w:pPr>
      <w:r>
        <w:rPr>
          <w:color w:val="000000"/>
          <w:szCs w:val="32"/>
        </w:rPr>
        <w:t>7.</w:t>
      </w:r>
      <w:r>
        <w:rPr>
          <w:rFonts w:hint="eastAsia"/>
          <w:color w:val="000000"/>
          <w:szCs w:val="32"/>
        </w:rPr>
        <w:t xml:space="preserve"> </w:t>
      </w:r>
      <w:r>
        <w:rPr>
          <w:color w:val="000000"/>
          <w:szCs w:val="32"/>
        </w:rPr>
        <w:t>深化医康养护一体化发展。加强医疗养老资源共享，乡镇、村医疗卫生和养老服务设施统一规划、毗邻建设。引导乡镇（街</w:t>
      </w:r>
      <w:r>
        <w:rPr>
          <w:rFonts w:hint="eastAsia" w:ascii="仿宋_GB2312"/>
          <w:color w:val="000000"/>
          <w:szCs w:val="32"/>
        </w:rPr>
        <w:t>道）卫生院、社会力量办医疗卫生机构</w:t>
      </w:r>
      <w:r>
        <w:rPr>
          <w:rFonts w:hint="eastAsia" w:ascii="仿宋_GB2312"/>
          <w:color w:val="000000"/>
          <w:szCs w:val="32"/>
          <w:lang w:eastAsia="zh-CN"/>
        </w:rPr>
        <w:t>和</w:t>
      </w:r>
      <w:r>
        <w:rPr>
          <w:rFonts w:hint="eastAsia" w:ascii="仿宋_GB2312"/>
          <w:color w:val="000000"/>
          <w:szCs w:val="32"/>
        </w:rPr>
        <w:t>康复机构参与康养联合体建设。开展医康养护一体化综合集成改革试点，依托乡镇（街道）居家养老服务中心和康养联合体建设家庭养老床位，健全医养转介工作机制，整合“互联网+居家护理”和养老服务补贴等相关政策，构建县</w:t>
      </w:r>
      <w:r>
        <w:rPr>
          <w:rFonts w:hint="eastAsia" w:ascii="仿宋_GB2312"/>
          <w:color w:val="000000"/>
          <w:szCs w:val="32"/>
          <w:lang w:eastAsia="zh-CN"/>
        </w:rPr>
        <w:t>（市、区）</w:t>
      </w:r>
      <w:r>
        <w:rPr>
          <w:rFonts w:hint="eastAsia" w:ascii="仿宋_GB2312"/>
          <w:color w:val="000000"/>
          <w:szCs w:val="32"/>
        </w:rPr>
        <w:t>、街道、社区多级联动</w:t>
      </w:r>
      <w:r>
        <w:rPr>
          <w:rFonts w:hint="eastAsia" w:ascii="仿宋_GB2312"/>
          <w:color w:val="000000"/>
          <w:szCs w:val="32"/>
          <w:lang w:eastAsia="zh-CN"/>
        </w:rPr>
        <w:t>，</w:t>
      </w:r>
      <w:r>
        <w:rPr>
          <w:rFonts w:hint="eastAsia" w:ascii="仿宋_GB2312"/>
          <w:color w:val="000000"/>
          <w:szCs w:val="32"/>
        </w:rPr>
        <w:t>医康养护一体的居家服务体系。</w:t>
      </w:r>
      <w:r>
        <w:rPr>
          <w:color w:val="000000"/>
          <w:szCs w:val="32"/>
        </w:rPr>
        <w:t>到2025年康养联合体覆盖全市所有乡镇（街道）。（责任单位：市民政局、市卫生健康委、市医保局、市残联）</w:t>
      </w:r>
    </w:p>
    <w:p>
      <w:pPr>
        <w:overflowPunct w:val="0"/>
        <w:spacing w:line="600" w:lineRule="exact"/>
        <w:ind w:firstLine="632" w:firstLineChars="200"/>
        <w:rPr>
          <w:color w:val="000000"/>
          <w:szCs w:val="32"/>
        </w:rPr>
      </w:pPr>
      <w:r>
        <w:rPr>
          <w:color w:val="000000"/>
          <w:szCs w:val="32"/>
        </w:rPr>
        <w:t>8.</w:t>
      </w:r>
      <w:r>
        <w:rPr>
          <w:rFonts w:hint="eastAsia"/>
          <w:color w:val="000000"/>
          <w:szCs w:val="32"/>
        </w:rPr>
        <w:t xml:space="preserve"> </w:t>
      </w:r>
      <w:r>
        <w:rPr>
          <w:color w:val="000000"/>
          <w:szCs w:val="32"/>
        </w:rPr>
        <w:t>加大居家和社区适老化改造力度。统筹公共服务设施改造，持续推进城市老旧小区加装电梯工程，为老年人提供安全便利的环境。继续推进困难家庭适老化改造，新增符合条件的对象愿改尽改、应改尽改。培育居家适老化改造市场，采取政府补贴、家庭自付的资金分担机制，引导社会机构为有需求的老年人家庭提供改造服务。（责任单位：市民政局、市财政局、市建设局、市残联）</w:t>
      </w:r>
    </w:p>
    <w:p>
      <w:pPr>
        <w:overflowPunct w:val="0"/>
        <w:spacing w:line="600" w:lineRule="exact"/>
        <w:ind w:firstLine="632" w:firstLineChars="200"/>
        <w:rPr>
          <w:rFonts w:eastAsia="楷体_GB2312"/>
          <w:color w:val="000000"/>
          <w:szCs w:val="32"/>
        </w:rPr>
      </w:pPr>
      <w:r>
        <w:rPr>
          <w:rFonts w:eastAsia="楷体_GB2312"/>
          <w:color w:val="000000"/>
          <w:szCs w:val="32"/>
        </w:rPr>
        <w:t>（三）保障基本养老服务设施高效运行。</w:t>
      </w:r>
    </w:p>
    <w:p>
      <w:pPr>
        <w:overflowPunct w:val="0"/>
        <w:spacing w:line="600" w:lineRule="exact"/>
        <w:ind w:firstLine="632" w:firstLineChars="200"/>
        <w:rPr>
          <w:color w:val="000000"/>
          <w:szCs w:val="32"/>
        </w:rPr>
      </w:pPr>
      <w:r>
        <w:rPr>
          <w:color w:val="000000"/>
          <w:szCs w:val="32"/>
        </w:rPr>
        <w:t>9.</w:t>
      </w:r>
      <w:r>
        <w:rPr>
          <w:rFonts w:hint="eastAsia"/>
          <w:color w:val="000000"/>
          <w:szCs w:val="32"/>
        </w:rPr>
        <w:t xml:space="preserve"> </w:t>
      </w:r>
      <w:r>
        <w:rPr>
          <w:color w:val="000000"/>
          <w:szCs w:val="32"/>
        </w:rPr>
        <w:t>发挥公办养老机构基础作用。坚持公办养老机构公益属性，政府投入资源或者出资建设的养老服务设施，在为经济困难失能、计划生育特殊家庭等老年人提供无偿或低偿托养服务的基础上，面向广大老年人服务，实现普惠优质。</w:t>
      </w:r>
      <w:r>
        <w:rPr>
          <w:szCs w:val="32"/>
        </w:rPr>
        <w:t>逐步推行特困人员以县</w:t>
      </w:r>
      <w:r>
        <w:rPr>
          <w:color w:val="000000"/>
          <w:szCs w:val="32"/>
        </w:rPr>
        <w:t>（市、区）</w:t>
      </w:r>
      <w:r>
        <w:rPr>
          <w:szCs w:val="32"/>
        </w:rPr>
        <w:t>为单位集中供养的模式，规范提升集中供养的质量和水平。</w:t>
      </w:r>
      <w:r>
        <w:rPr>
          <w:color w:val="000000"/>
          <w:szCs w:val="32"/>
        </w:rPr>
        <w:t>到2025年，市</w:t>
      </w:r>
      <w:r>
        <w:rPr>
          <w:rFonts w:hint="eastAsia"/>
          <w:color w:val="000000"/>
          <w:szCs w:val="32"/>
          <w:lang w:eastAsia="zh-CN"/>
        </w:rPr>
        <w:t>、县</w:t>
      </w:r>
      <w:r>
        <w:rPr>
          <w:color w:val="000000"/>
          <w:szCs w:val="32"/>
        </w:rPr>
        <w:t>至少建有1所本级的医养结合的公办养老机构，用以保障基本养老服务供给和应对突发事件。推进公办养老机构改革，鼓励国有企业参与养老机构建设运营，实现提质增效。（责任单位：市发展改革委、市民政局、市卫生健康委、市国资委）</w:t>
      </w:r>
    </w:p>
    <w:p>
      <w:pPr>
        <w:overflowPunct w:val="0"/>
        <w:spacing w:line="600" w:lineRule="exact"/>
        <w:ind w:firstLine="632" w:firstLineChars="200"/>
        <w:rPr>
          <w:color w:val="000000"/>
          <w:szCs w:val="32"/>
        </w:rPr>
      </w:pPr>
      <w:r>
        <w:rPr>
          <w:color w:val="000000"/>
          <w:szCs w:val="32"/>
        </w:rPr>
        <w:t>10.</w:t>
      </w:r>
      <w:r>
        <w:rPr>
          <w:rFonts w:hint="eastAsia"/>
          <w:color w:val="000000"/>
          <w:szCs w:val="32"/>
        </w:rPr>
        <w:t xml:space="preserve"> </w:t>
      </w:r>
      <w:r>
        <w:rPr>
          <w:color w:val="000000"/>
          <w:szCs w:val="32"/>
        </w:rPr>
        <w:t>促</w:t>
      </w:r>
      <w:r>
        <w:rPr>
          <w:rFonts w:hint="eastAsia" w:ascii="仿宋_GB2312"/>
          <w:color w:val="000000"/>
          <w:szCs w:val="32"/>
        </w:rPr>
        <w:t>进民</w:t>
      </w:r>
      <w:r>
        <w:rPr>
          <w:rFonts w:hint="eastAsia" w:ascii="仿宋_GB2312"/>
          <w:color w:val="000000"/>
          <w:szCs w:val="32"/>
          <w:lang w:eastAsia="zh-CN"/>
        </w:rPr>
        <w:t>办</w:t>
      </w:r>
      <w:r>
        <w:rPr>
          <w:rFonts w:hint="eastAsia" w:ascii="仿宋_GB2312"/>
          <w:color w:val="000000"/>
          <w:szCs w:val="32"/>
        </w:rPr>
        <w:t>养老机构有序发展。根据省普惠型养老机构标准、服务目录、入住条件和指导性价格，开展普惠型养老机构签约工作，鼓励民办养老机构提供普惠养老服务。民办养老机构和医疗卫生机构通过政府购买服务方式提供基本养老服务的，政府根据服务数量和质量支付相应费用。推进“一人一床一码”</w:t>
      </w:r>
      <w:r>
        <w:rPr>
          <w:rFonts w:hint="eastAsia" w:ascii="仿宋_GB2312"/>
          <w:color w:val="000000"/>
          <w:szCs w:val="32"/>
          <w:lang w:eastAsia="zh-CN"/>
        </w:rPr>
        <w:t>“</w:t>
      </w:r>
      <w:r>
        <w:rPr>
          <w:rFonts w:hint="eastAsia" w:ascii="仿宋_GB2312"/>
          <w:color w:val="000000"/>
          <w:szCs w:val="32"/>
        </w:rPr>
        <w:t>补需方</w:t>
      </w:r>
      <w:r>
        <w:rPr>
          <w:rFonts w:hint="eastAsia" w:ascii="仿宋_GB2312"/>
          <w:color w:val="000000"/>
          <w:szCs w:val="32"/>
          <w:lang w:eastAsia="zh-CN"/>
        </w:rPr>
        <w:t>”</w:t>
      </w:r>
      <w:r>
        <w:rPr>
          <w:rFonts w:hint="eastAsia" w:ascii="仿宋_GB2312"/>
          <w:color w:val="000000"/>
          <w:szCs w:val="32"/>
        </w:rPr>
        <w:t>改革，推广“长者码”“床位码”应用，实现床位智能管理和精准补助。继续做好养老服务机构综合保险工作，给</w:t>
      </w:r>
      <w:r>
        <w:rPr>
          <w:color w:val="000000"/>
          <w:szCs w:val="32"/>
        </w:rPr>
        <w:t>予一定保费补助。（责任单位：市民政局、市财政局）</w:t>
      </w:r>
    </w:p>
    <w:p>
      <w:pPr>
        <w:overflowPunct w:val="0"/>
        <w:spacing w:line="600" w:lineRule="exact"/>
        <w:ind w:firstLine="632" w:firstLineChars="200"/>
        <w:rPr>
          <w:color w:val="000000"/>
          <w:szCs w:val="32"/>
        </w:rPr>
      </w:pPr>
      <w:r>
        <w:rPr>
          <w:color w:val="000000"/>
          <w:szCs w:val="32"/>
        </w:rPr>
        <w:t>11.</w:t>
      </w:r>
      <w:r>
        <w:rPr>
          <w:rFonts w:hint="eastAsia"/>
          <w:color w:val="000000"/>
          <w:szCs w:val="32"/>
        </w:rPr>
        <w:t xml:space="preserve"> </w:t>
      </w:r>
      <w:r>
        <w:rPr>
          <w:color w:val="000000"/>
          <w:szCs w:val="32"/>
        </w:rPr>
        <w:t>推动居家服务机构长效运行。实行居家养老服务设施标准化建设，定期开展星级评定。加大财政支持力度，全市乡镇（街道）居家养老服务中心运营补助每家每年不少于15万元，村（社区）居家养老服务照料中心运营补助平均每家每年不少于3万元。各县（市、区）根据当地实际情况和服务绩效制定具体办法，适当提高补助标准。（责任单位：市民政局、市财政局）</w:t>
      </w:r>
    </w:p>
    <w:p>
      <w:pPr>
        <w:overflowPunct w:val="0"/>
        <w:spacing w:line="600" w:lineRule="exact"/>
        <w:ind w:firstLine="632" w:firstLineChars="200"/>
        <w:rPr>
          <w:color w:val="000000"/>
          <w:szCs w:val="32"/>
        </w:rPr>
      </w:pPr>
      <w:r>
        <w:rPr>
          <w:color w:val="000000"/>
          <w:szCs w:val="32"/>
        </w:rPr>
        <w:t>12.</w:t>
      </w:r>
      <w:r>
        <w:rPr>
          <w:rFonts w:hint="eastAsia"/>
          <w:color w:val="000000"/>
          <w:szCs w:val="32"/>
        </w:rPr>
        <w:t xml:space="preserve"> </w:t>
      </w:r>
      <w:r>
        <w:rPr>
          <w:color w:val="000000"/>
          <w:szCs w:val="32"/>
        </w:rPr>
        <w:t>扶持养老服务专业化连锁运营。加快推进居家社区机构服务相融合，支持养老机构开展居家养老服务。每个县（市、区）可划片择优确定专业养老服务机构，分区域连锁化运行。充分考虑养老服务的特殊性，政府购买服务项目合同期可适当延长，最长不超过3年。（责任单位：市民政局、市财政局）</w:t>
      </w:r>
    </w:p>
    <w:p>
      <w:pPr>
        <w:overflowPunct w:val="0"/>
        <w:spacing w:line="600" w:lineRule="exact"/>
        <w:ind w:firstLine="632" w:firstLineChars="200"/>
        <w:rPr>
          <w:rFonts w:eastAsia="楷体_GB2312"/>
          <w:color w:val="000000"/>
          <w:szCs w:val="32"/>
        </w:rPr>
      </w:pPr>
      <w:r>
        <w:rPr>
          <w:rFonts w:eastAsia="楷体_GB2312"/>
          <w:color w:val="000000"/>
          <w:szCs w:val="32"/>
        </w:rPr>
        <w:t>（四）推进基本养老服务聚焦重点群体。</w:t>
      </w:r>
    </w:p>
    <w:p>
      <w:pPr>
        <w:overflowPunct w:val="0"/>
        <w:autoSpaceDE w:val="0"/>
        <w:spacing w:line="600" w:lineRule="exact"/>
        <w:ind w:firstLine="632" w:firstLineChars="200"/>
        <w:rPr>
          <w:color w:val="000000"/>
          <w:szCs w:val="32"/>
        </w:rPr>
      </w:pPr>
      <w:r>
        <w:rPr>
          <w:color w:val="000000"/>
          <w:szCs w:val="32"/>
        </w:rPr>
        <w:t>13.</w:t>
      </w:r>
      <w:r>
        <w:rPr>
          <w:rFonts w:hint="eastAsia"/>
          <w:color w:val="000000"/>
          <w:szCs w:val="32"/>
        </w:rPr>
        <w:t xml:space="preserve"> </w:t>
      </w:r>
      <w:r>
        <w:rPr>
          <w:color w:val="000000"/>
          <w:szCs w:val="32"/>
        </w:rPr>
        <w:t>聚焦失能老年人照护。根据省里统一部署开展长期护理保险试点。加大养老服务补贴力度，低保家庭失能老年人居家养老的，按照生活完全不能自理、基本不能自理、部分不能自理三档，参照我省重度残疾人护理补贴标准执行；家庭不具备照料条件、经县级民政部门批准纳入机构养老的，参照特困供养人员护理费标准执行。低保边缘家庭失能老年人按照不低于上述低保家庭老年人50%的标准执行。将失能老年人家庭成员照护培训纳入政府购买养老服务目录，对符合条件的失能老年人家庭成员按规定给予职业技能培训补贴。以基层医疗卫生机构为依托，积极开展社区和居家康复护理服务。鼓励社会力量利用社区配套用房或闲置用房开办护理站，为失能老年人提供居家健康服务。（责任单位：市民政局、市财政局、市卫生健康委、市医保局）</w:t>
      </w:r>
    </w:p>
    <w:p>
      <w:pPr>
        <w:overflowPunct w:val="0"/>
        <w:spacing w:line="600" w:lineRule="exact"/>
        <w:ind w:firstLine="632" w:firstLineChars="200"/>
        <w:rPr>
          <w:color w:val="000000"/>
          <w:szCs w:val="32"/>
        </w:rPr>
      </w:pPr>
      <w:r>
        <w:rPr>
          <w:color w:val="000000"/>
          <w:szCs w:val="32"/>
        </w:rPr>
        <w:t>14.</w:t>
      </w:r>
      <w:r>
        <w:rPr>
          <w:rFonts w:hint="eastAsia"/>
          <w:color w:val="000000"/>
          <w:szCs w:val="32"/>
        </w:rPr>
        <w:t xml:space="preserve"> </w:t>
      </w:r>
      <w:r>
        <w:rPr>
          <w:color w:val="000000"/>
          <w:szCs w:val="32"/>
        </w:rPr>
        <w:t>聚焦困难老年人兜底保障。落实特困人员的基本生活保障标准和照料护理费用，保障公办特困供养机构运行经费。对有集中供养意愿的特困老年人全部实行集中供养。面向特殊困难老年人提供社区探访关爱服务，给予心理慰藉。特殊困难老年人每月至少探访一次，无人照顾的重点对象每周至少</w:t>
      </w:r>
      <w:r>
        <w:rPr>
          <w:rFonts w:hint="eastAsia"/>
          <w:color w:val="000000"/>
          <w:szCs w:val="32"/>
          <w:lang w:eastAsia="zh-CN"/>
        </w:rPr>
        <w:t>探访</w:t>
      </w:r>
      <w:r>
        <w:rPr>
          <w:color w:val="000000"/>
          <w:szCs w:val="32"/>
        </w:rPr>
        <w:t>一次。（责任单位：市民政局）</w:t>
      </w:r>
    </w:p>
    <w:p>
      <w:pPr>
        <w:overflowPunct w:val="0"/>
        <w:spacing w:line="600" w:lineRule="exact"/>
        <w:ind w:firstLine="632" w:firstLineChars="200"/>
        <w:rPr>
          <w:color w:val="000000"/>
          <w:szCs w:val="32"/>
        </w:rPr>
      </w:pPr>
      <w:r>
        <w:rPr>
          <w:color w:val="000000"/>
          <w:szCs w:val="32"/>
        </w:rPr>
        <w:t>15.</w:t>
      </w:r>
      <w:r>
        <w:rPr>
          <w:rFonts w:hint="eastAsia"/>
          <w:color w:val="000000"/>
          <w:szCs w:val="32"/>
        </w:rPr>
        <w:t xml:space="preserve"> </w:t>
      </w:r>
      <w:r>
        <w:rPr>
          <w:color w:val="000000"/>
          <w:szCs w:val="32"/>
        </w:rPr>
        <w:t>聚焦海岛山区老年人基本服务。推进城乡养老服务均衡发展，加大农村基本养老服务供给。在椒江、玉环等地海岛乡镇持续开展海岛支老行动。采取流动服务、邻里互助等多种方式，实施山区助老行动。2024年前每年提升海岛山区照料中心100家以上。加大福利彩票公益金对海岛山区基本养老服务支持力度。（责任单位：市民政局）</w:t>
      </w:r>
    </w:p>
    <w:p>
      <w:pPr>
        <w:overflowPunct w:val="0"/>
        <w:spacing w:line="600" w:lineRule="exact"/>
        <w:ind w:firstLine="632" w:firstLineChars="200"/>
        <w:rPr>
          <w:rFonts w:eastAsia="楷体_GB2312"/>
          <w:color w:val="000000"/>
          <w:szCs w:val="32"/>
        </w:rPr>
      </w:pPr>
      <w:r>
        <w:rPr>
          <w:rFonts w:eastAsia="楷体_GB2312"/>
          <w:color w:val="000000"/>
          <w:szCs w:val="32"/>
        </w:rPr>
        <w:t>（五）提升养老服务队伍能力。</w:t>
      </w:r>
    </w:p>
    <w:p>
      <w:pPr>
        <w:overflowPunct w:val="0"/>
        <w:autoSpaceDE w:val="0"/>
        <w:spacing w:line="600" w:lineRule="exact"/>
        <w:ind w:firstLine="632" w:firstLineChars="200"/>
        <w:rPr>
          <w:color w:val="000000"/>
          <w:szCs w:val="32"/>
        </w:rPr>
      </w:pPr>
      <w:r>
        <w:rPr>
          <w:color w:val="000000"/>
          <w:szCs w:val="32"/>
        </w:rPr>
        <w:t>16.</w:t>
      </w:r>
      <w:r>
        <w:rPr>
          <w:rFonts w:hint="eastAsia"/>
          <w:color w:val="000000"/>
          <w:szCs w:val="32"/>
        </w:rPr>
        <w:t xml:space="preserve"> </w:t>
      </w:r>
      <w:r>
        <w:rPr>
          <w:color w:val="000000"/>
          <w:szCs w:val="32"/>
        </w:rPr>
        <w:t>实施养老人才增能行动。加强养老护理员、养老院院长、老年社会工作者培训，建立养老人才智库，形成人才评估体系。每年举办养老护理员大赛，以赛促训提高护理技能。加强护理员职业道德教育，提高护理员素质，防止欺老虐老现象发生。到2025年，每万名老年人拥有持证养老护理员25人以上，其中高级以上护理员比例不低于18%，持救护员证比例不低于70%。落实特困供养机构按完全失能人员1:3、部分失能人员1:6、自理人员1:15的比例配备护理人员。（责任单位：市民政局、市人力社保局）</w:t>
      </w:r>
    </w:p>
    <w:p>
      <w:pPr>
        <w:overflowPunct w:val="0"/>
        <w:autoSpaceDE w:val="0"/>
        <w:spacing w:line="600" w:lineRule="exact"/>
        <w:ind w:firstLine="632" w:firstLineChars="200"/>
        <w:rPr>
          <w:color w:val="000000"/>
          <w:szCs w:val="32"/>
        </w:rPr>
      </w:pPr>
      <w:r>
        <w:rPr>
          <w:color w:val="000000"/>
          <w:szCs w:val="32"/>
        </w:rPr>
        <w:t>17.</w:t>
      </w:r>
      <w:r>
        <w:rPr>
          <w:rFonts w:hint="eastAsia"/>
          <w:color w:val="000000"/>
          <w:szCs w:val="32"/>
        </w:rPr>
        <w:t xml:space="preserve"> </w:t>
      </w:r>
      <w:r>
        <w:rPr>
          <w:color w:val="000000"/>
          <w:szCs w:val="32"/>
        </w:rPr>
        <w:t>提高养老护理员待遇。全面落实养老护理员特殊岗位津贴制度，</w:t>
      </w:r>
      <w:r>
        <w:rPr>
          <w:bCs/>
          <w:szCs w:val="32"/>
        </w:rPr>
        <w:t>养老护理员特殊岗位津贴对象从机构护理员扩展到居家养老服务行业在册（含劳务派遣）的持证护理员（超龄就业人员以参加工伤保险为依据）</w:t>
      </w:r>
      <w:r>
        <w:rPr>
          <w:color w:val="000000"/>
          <w:szCs w:val="32"/>
        </w:rPr>
        <w:t>。高校和中职学校养老服务相关专业毕业生，在本市各类养老服务机构内从事养老护理、专业技术工作达到一定年限且符合相应条件的，根据相关文件给予入职奖补。鼓励各县（市、区）在市级政策基础上因地制宜出台护理员激励措施，提高护理员社会地位和经济收入。（责任单位：市民政局、市财政局、市人力社保局）</w:t>
      </w:r>
    </w:p>
    <w:p>
      <w:pPr>
        <w:pStyle w:val="5"/>
        <w:spacing w:line="600" w:lineRule="exact"/>
        <w:ind w:firstLine="632"/>
        <w:rPr>
          <w:rFonts w:hint="eastAsia" w:ascii="仿宋_GB2312" w:eastAsia="仿宋_GB2312"/>
          <w:color w:val="000000"/>
          <w:szCs w:val="32"/>
        </w:rPr>
      </w:pPr>
      <w:r>
        <w:rPr>
          <w:rFonts w:ascii="Times New Roman" w:hAnsi="Times New Roman" w:eastAsia="仿宋_GB2312"/>
          <w:color w:val="000000"/>
          <w:szCs w:val="32"/>
        </w:rPr>
        <w:t>18.</w:t>
      </w:r>
      <w:r>
        <w:rPr>
          <w:rFonts w:hint="eastAsia" w:ascii="Times New Roman" w:hAnsi="Times New Roman" w:eastAsia="仿宋_GB2312"/>
          <w:color w:val="000000"/>
          <w:szCs w:val="32"/>
        </w:rPr>
        <w:t xml:space="preserve"> </w:t>
      </w:r>
      <w:r>
        <w:rPr>
          <w:rFonts w:ascii="Times New Roman" w:hAnsi="Times New Roman" w:eastAsia="仿宋_GB2312"/>
          <w:color w:val="000000"/>
          <w:szCs w:val="32"/>
        </w:rPr>
        <w:t>积极发挥为老服务组织作用。鼓励持证社会工作者开展</w:t>
      </w:r>
      <w:r>
        <w:rPr>
          <w:rFonts w:hint="eastAsia" w:ascii="仿宋_GB2312" w:eastAsia="仿宋_GB2312"/>
          <w:color w:val="000000"/>
          <w:szCs w:val="32"/>
        </w:rPr>
        <w:t>老年社会工作</w:t>
      </w:r>
      <w:r>
        <w:rPr>
          <w:rFonts w:hint="eastAsia" w:ascii="仿宋_GB2312" w:eastAsia="仿宋_GB2312"/>
          <w:color w:val="000000"/>
          <w:szCs w:val="32"/>
          <w:lang w:eastAsia="zh-CN"/>
        </w:rPr>
        <w:t>；</w:t>
      </w:r>
      <w:r>
        <w:rPr>
          <w:rFonts w:hint="eastAsia" w:ascii="仿宋_GB2312" w:eastAsia="仿宋_GB2312"/>
          <w:color w:val="000000"/>
          <w:szCs w:val="32"/>
        </w:rPr>
        <w:t>积极发挥社会工作服务在精神慰藉、咨询服务、权益保障等方面的重要作用</w:t>
      </w:r>
      <w:r>
        <w:rPr>
          <w:rFonts w:hint="eastAsia" w:ascii="仿宋_GB2312" w:eastAsia="仿宋_GB2312"/>
          <w:color w:val="000000"/>
          <w:szCs w:val="32"/>
          <w:lang w:eastAsia="zh-CN"/>
        </w:rPr>
        <w:t>；</w:t>
      </w:r>
      <w:r>
        <w:rPr>
          <w:rFonts w:hint="eastAsia" w:ascii="仿宋_GB2312" w:eastAsia="仿宋_GB2312"/>
          <w:color w:val="000000"/>
          <w:szCs w:val="32"/>
        </w:rPr>
        <w:t>引导志愿者参与为老服务，开展“银龄互助”活动。将以老助老优秀志愿服务团队、项目、志愿者纳入每年市级志愿服务最佳（最美）典型评选。（责任单位：市民政局、市委宣传部）</w:t>
      </w:r>
    </w:p>
    <w:p>
      <w:pPr>
        <w:overflowPunct w:val="0"/>
        <w:spacing w:line="600" w:lineRule="exact"/>
        <w:ind w:firstLine="632" w:firstLineChars="200"/>
        <w:rPr>
          <w:rFonts w:eastAsia="楷体_GB2312"/>
          <w:color w:val="000000"/>
          <w:szCs w:val="32"/>
        </w:rPr>
      </w:pPr>
      <w:r>
        <w:rPr>
          <w:rFonts w:eastAsia="楷体_GB2312"/>
          <w:color w:val="000000"/>
          <w:szCs w:val="32"/>
        </w:rPr>
        <w:t>（六）构建智慧养老服务应用场景。</w:t>
      </w:r>
    </w:p>
    <w:p>
      <w:pPr>
        <w:overflowPunct w:val="0"/>
        <w:autoSpaceDE w:val="0"/>
        <w:spacing w:line="600" w:lineRule="exact"/>
        <w:ind w:firstLine="632" w:firstLineChars="200"/>
        <w:rPr>
          <w:color w:val="000000"/>
          <w:szCs w:val="32"/>
        </w:rPr>
      </w:pPr>
      <w:r>
        <w:rPr>
          <w:color w:val="000000"/>
          <w:szCs w:val="32"/>
        </w:rPr>
        <w:t>19.</w:t>
      </w:r>
      <w:r>
        <w:rPr>
          <w:rFonts w:hint="eastAsia"/>
          <w:color w:val="000000"/>
          <w:szCs w:val="32"/>
        </w:rPr>
        <w:t xml:space="preserve"> </w:t>
      </w:r>
      <w:r>
        <w:rPr>
          <w:rFonts w:hint="eastAsia"/>
          <w:color w:val="000000"/>
          <w:szCs w:val="32"/>
          <w:lang w:val="en-US" w:eastAsia="zh-CN"/>
        </w:rPr>
        <w:t>拓展基本养老服务场景。构建老年人就医配药、紧急救助、家庭照护等应用场景，未来社区（乡村）优先落地“邻里康养”应用。所有乡镇（街道）居家养老服务中心配备智能服务终端，并逐步向村（社区）延伸。2023年，完成50个以上村（社区）居家养老服务照料中心智能服务终端配置，为1万名以上独居老年人安装智能联网火灾报警装置。推进未来社区、未来乡村和养老机构建设线上线下相结合的老年学校（老年学堂）。推进智慧养老院建设，2025年底前每个县（市、区）建成2家以上。</w:t>
      </w:r>
      <w:r>
        <w:rPr>
          <w:rFonts w:hint="eastAsia" w:ascii="仿宋_GB2312"/>
          <w:color w:val="000000"/>
          <w:szCs w:val="32"/>
        </w:rPr>
        <w:t>（责任单位：市“老有康养”专项工作专班成员单位）</w:t>
      </w:r>
    </w:p>
    <w:p>
      <w:pPr>
        <w:overflowPunct w:val="0"/>
        <w:autoSpaceDE w:val="0"/>
        <w:spacing w:line="600" w:lineRule="exact"/>
        <w:ind w:firstLine="632" w:firstLineChars="200"/>
        <w:rPr>
          <w:rFonts w:ascii="仿宋_GB2312"/>
          <w:color w:val="000000"/>
          <w:szCs w:val="32"/>
        </w:rPr>
      </w:pPr>
      <w:r>
        <w:rPr>
          <w:color w:val="000000"/>
          <w:szCs w:val="32"/>
        </w:rPr>
        <w:t>20.</w:t>
      </w:r>
      <w:r>
        <w:rPr>
          <w:rFonts w:hint="eastAsia"/>
          <w:color w:val="000000"/>
          <w:szCs w:val="32"/>
        </w:rPr>
        <w:t xml:space="preserve"> </w:t>
      </w:r>
      <w:r>
        <w:rPr>
          <w:color w:val="000000"/>
          <w:szCs w:val="32"/>
        </w:rPr>
        <w:t>深化</w:t>
      </w:r>
      <w:r>
        <w:rPr>
          <w:rFonts w:hint="eastAsia" w:ascii="仿宋_GB2312"/>
          <w:color w:val="000000"/>
          <w:szCs w:val="32"/>
        </w:rPr>
        <w:t>养老服务数字化改革。坚持一地创新、全市共享，迭代升级“老省心”应用，持续完善</w:t>
      </w:r>
      <w:r>
        <w:rPr>
          <w:rFonts w:hint="eastAsia" w:ascii="仿宋_GB2312"/>
          <w:color w:val="000000"/>
          <w:szCs w:val="32"/>
          <w:lang w:eastAsia="zh-CN"/>
        </w:rPr>
        <w:t>“</w:t>
      </w:r>
      <w:r>
        <w:rPr>
          <w:rFonts w:hint="eastAsia" w:ascii="仿宋_GB2312"/>
          <w:color w:val="000000"/>
          <w:szCs w:val="32"/>
        </w:rPr>
        <w:t>省心食</w:t>
      </w:r>
      <w:r>
        <w:rPr>
          <w:rFonts w:hint="eastAsia" w:ascii="仿宋_GB2312"/>
          <w:color w:val="000000"/>
          <w:szCs w:val="32"/>
          <w:lang w:eastAsia="zh-CN"/>
        </w:rPr>
        <w:t>”“</w:t>
      </w:r>
      <w:r>
        <w:rPr>
          <w:rFonts w:hint="eastAsia" w:ascii="仿宋_GB2312"/>
          <w:color w:val="000000"/>
          <w:szCs w:val="32"/>
        </w:rPr>
        <w:t>省心防</w:t>
      </w:r>
      <w:r>
        <w:rPr>
          <w:rFonts w:hint="eastAsia" w:ascii="仿宋_GB2312"/>
          <w:color w:val="000000"/>
          <w:szCs w:val="32"/>
          <w:lang w:eastAsia="zh-CN"/>
        </w:rPr>
        <w:t>”“</w:t>
      </w:r>
      <w:r>
        <w:rPr>
          <w:rFonts w:hint="eastAsia" w:ascii="仿宋_GB2312"/>
          <w:color w:val="000000"/>
          <w:szCs w:val="32"/>
        </w:rPr>
        <w:t>省心安</w:t>
      </w:r>
      <w:r>
        <w:rPr>
          <w:rFonts w:hint="eastAsia" w:ascii="仿宋_GB2312"/>
          <w:color w:val="000000"/>
          <w:szCs w:val="32"/>
          <w:lang w:eastAsia="zh-CN"/>
        </w:rPr>
        <w:t>”</w:t>
      </w:r>
      <w:r>
        <w:rPr>
          <w:rFonts w:hint="eastAsia" w:ascii="仿宋_GB2312"/>
          <w:color w:val="000000"/>
          <w:szCs w:val="32"/>
        </w:rPr>
        <w:t>等子场景，不断丰富服务功能。应用省级构建的公共服务政策配置模型，落实养老基本公共服务清单智能分析、按需推送。推广智慧养老技术与设备，规范老龄数字环境，充分利用人工智能、物联网、机器人等技术，增强养老服务效能，降低老年人使用难度。加强信息无障碍建设，保留线下服务途径，</w:t>
      </w:r>
      <w:r>
        <w:rPr>
          <w:color w:val="000000"/>
          <w:szCs w:val="32"/>
        </w:rPr>
        <w:t>方便老年人获取服务</w:t>
      </w:r>
      <w:r>
        <w:rPr>
          <w:rFonts w:hint="eastAsia" w:ascii="仿宋_GB2312"/>
          <w:color w:val="000000"/>
          <w:szCs w:val="32"/>
        </w:rPr>
        <w:t>和福利。（责任单位：市“老有康养”专项工作专班成员单位）</w:t>
      </w:r>
    </w:p>
    <w:p>
      <w:pPr>
        <w:overflowPunct w:val="0"/>
        <w:spacing w:line="600" w:lineRule="exact"/>
        <w:ind w:firstLine="632" w:firstLineChars="200"/>
        <w:rPr>
          <w:rFonts w:eastAsia="黑体"/>
          <w:color w:val="000000"/>
          <w:szCs w:val="32"/>
        </w:rPr>
      </w:pPr>
      <w:r>
        <w:rPr>
          <w:rFonts w:eastAsia="黑体"/>
          <w:color w:val="000000"/>
          <w:szCs w:val="32"/>
        </w:rPr>
        <w:t>三、保障措施</w:t>
      </w:r>
    </w:p>
    <w:p>
      <w:pPr>
        <w:overflowPunct w:val="0"/>
        <w:autoSpaceDE w:val="0"/>
        <w:spacing w:line="600" w:lineRule="exact"/>
        <w:ind w:firstLine="632" w:firstLineChars="200"/>
        <w:rPr>
          <w:rFonts w:ascii="仿宋_GB2312"/>
          <w:color w:val="000000"/>
          <w:szCs w:val="32"/>
        </w:rPr>
      </w:pPr>
      <w:r>
        <w:rPr>
          <w:rFonts w:eastAsia="楷体_GB2312"/>
          <w:color w:val="000000"/>
          <w:szCs w:val="32"/>
        </w:rPr>
        <w:t>（一）加强组织领导。</w:t>
      </w:r>
      <w:r>
        <w:rPr>
          <w:rFonts w:hint="eastAsia" w:ascii="仿宋_GB2312"/>
          <w:color w:val="000000"/>
          <w:kern w:val="0"/>
          <w:szCs w:val="32"/>
        </w:rPr>
        <w:t>坚持党建统领</w:t>
      </w:r>
      <w:r>
        <w:rPr>
          <w:rFonts w:hint="eastAsia" w:ascii="仿宋_GB2312"/>
          <w:color w:val="000000"/>
          <w:kern w:val="0"/>
          <w:szCs w:val="32"/>
          <w:lang w:eastAsia="zh-CN"/>
        </w:rPr>
        <w:t>、</w:t>
      </w:r>
      <w:r>
        <w:rPr>
          <w:rFonts w:hint="eastAsia" w:ascii="仿宋_GB2312"/>
          <w:color w:val="000000"/>
          <w:kern w:val="0"/>
          <w:szCs w:val="32"/>
        </w:rPr>
        <w:t>多方协同助力“浙里康养”，各县（市、区）政府要将基本养老服务体系</w:t>
      </w:r>
      <w:r>
        <w:rPr>
          <w:rFonts w:hint="eastAsia" w:ascii="仿宋_GB2312"/>
          <w:color w:val="000000"/>
          <w:szCs w:val="32"/>
        </w:rPr>
        <w:t>建设纳入当地经济社会发展规划和重要议事日程。市级各有关部门按照职责分工，明确落实措施和进度安排。</w:t>
      </w:r>
    </w:p>
    <w:p>
      <w:pPr>
        <w:pStyle w:val="15"/>
        <w:spacing w:after="0" w:line="600" w:lineRule="exact"/>
        <w:ind w:firstLine="632"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（二）加强宣传引导。</w:t>
      </w:r>
      <w:r>
        <w:rPr>
          <w:rFonts w:ascii="Times New Roman" w:hAnsi="Times New Roman" w:eastAsia="仿宋_GB2312"/>
          <w:color w:val="000000"/>
          <w:sz w:val="32"/>
          <w:szCs w:val="32"/>
        </w:rPr>
        <w:t>各地各有关部门要主动做好基本养老服务政策宣传解读，及时公开基本养老服务信息，畅通意见建议反馈渠道。广泛开展积极应对人口老龄化战略的宣传教育，充分调动各方支持配合基本养老服务体系建设的积极性和主动性。</w:t>
      </w:r>
    </w:p>
    <w:p>
      <w:pPr>
        <w:pStyle w:val="15"/>
        <w:spacing w:after="0" w:line="600" w:lineRule="exact"/>
        <w:ind w:firstLine="632"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（三）强化督导和监管。</w:t>
      </w:r>
      <w:r>
        <w:rPr>
          <w:rFonts w:ascii="Times New Roman" w:hAnsi="Times New Roman" w:eastAsia="仿宋_GB2312"/>
          <w:color w:val="000000"/>
          <w:sz w:val="32"/>
          <w:szCs w:val="32"/>
        </w:rPr>
        <w:t>各县（市、区）政府要切实履行责任，落实支持政策，加强绩效评价和监督检查。要强化基本养老服务综合监管，确保服务质量和安全。发挥标准对基本养老服务的技术引领作用，开展服务质量第三方认证。市民政局要会同有关部门开展基本养老服务统计监测工作，配合做好基本养老服务项目统计调查和满意度测评。</w:t>
      </w:r>
    </w:p>
    <w:p>
      <w:pPr>
        <w:pStyle w:val="8"/>
        <w:spacing w:after="0" w:line="600" w:lineRule="exact"/>
        <w:ind w:left="0" w:leftChars="0" w:firstLine="632" w:firstLineChars="200"/>
        <w:rPr>
          <w:rFonts w:ascii="Times New Roman" w:hAnsi="Times New Roman" w:eastAsia="仿宋_GB2312"/>
          <w:sz w:val="32"/>
          <w:szCs w:val="32"/>
        </w:rPr>
      </w:pPr>
      <w:r>
        <w:rPr>
          <w:rFonts w:ascii="Times New Roman" w:hAnsi="Times New Roman" w:eastAsia="仿宋_GB2312"/>
          <w:sz w:val="32"/>
          <w:szCs w:val="32"/>
          <w:lang w:val="en-US" w:eastAsia="zh-CN"/>
        </w:rPr>
        <w:t>本方案自发布之日起施行。</w:t>
      </w:r>
    </w:p>
    <w:p>
      <w:pPr>
        <w:pStyle w:val="8"/>
        <w:spacing w:after="0" w:line="600" w:lineRule="exact"/>
        <w:ind w:left="0" w:leftChars="0" w:firstLine="632" w:firstLineChars="200"/>
        <w:rPr>
          <w:rFonts w:ascii="Times New Roman" w:hAnsi="Times New Roman" w:eastAsia="仿宋_GB2312"/>
          <w:sz w:val="32"/>
          <w:szCs w:val="32"/>
        </w:rPr>
      </w:pPr>
    </w:p>
    <w:p>
      <w:pPr>
        <w:pStyle w:val="15"/>
        <w:spacing w:after="0" w:line="600" w:lineRule="exact"/>
        <w:ind w:firstLine="632" w:firstLineChars="200"/>
        <w:rPr>
          <w:rFonts w:ascii="Times New Roman" w:hAnsi="Times New Roman"/>
          <w:color w:val="000000"/>
          <w:szCs w:val="32"/>
        </w:rPr>
      </w:pPr>
      <w:r>
        <w:rPr>
          <w:rFonts w:ascii="Times New Roman" w:hAnsi="Times New Roman" w:eastAsia="仿宋_GB2312"/>
          <w:color w:val="000000"/>
          <w:sz w:val="32"/>
          <w:szCs w:val="32"/>
        </w:rPr>
        <w:t>附件：台州市基本养老服务清单</w:t>
      </w:r>
    </w:p>
    <w:p>
      <w:pPr>
        <w:overflowPunct w:val="0"/>
        <w:spacing w:line="600" w:lineRule="exact"/>
        <w:jc w:val="left"/>
        <w:rPr>
          <w:rFonts w:eastAsia="黑体"/>
          <w:szCs w:val="32"/>
        </w:rPr>
      </w:pPr>
      <w:r>
        <w:rPr>
          <w:color w:val="000000"/>
          <w:szCs w:val="32"/>
        </w:rPr>
        <w:br w:type="page"/>
      </w:r>
      <w:r>
        <w:rPr>
          <w:rFonts w:eastAsia="黑体"/>
          <w:szCs w:val="32"/>
        </w:rPr>
        <w:t>附件</w:t>
      </w:r>
    </w:p>
    <w:p>
      <w:pPr>
        <w:overflowPunct w:val="0"/>
        <w:spacing w:line="600" w:lineRule="exact"/>
        <w:ind w:firstLine="632" w:firstLineChars="200"/>
        <w:rPr>
          <w:szCs w:val="32"/>
        </w:rPr>
      </w:pPr>
    </w:p>
    <w:p>
      <w:pPr>
        <w:overflowPunct w:val="0"/>
        <w:spacing w:afterLines="50" w:line="600" w:lineRule="exact"/>
        <w:jc w:val="center"/>
        <w:rPr>
          <w:rFonts w:eastAsia="方正小标宋简体"/>
          <w:sz w:val="44"/>
          <w:szCs w:val="44"/>
        </w:rPr>
      </w:pPr>
      <w:r>
        <w:rPr>
          <w:rFonts w:eastAsia="方正小标宋简体"/>
          <w:sz w:val="44"/>
          <w:szCs w:val="44"/>
        </w:rPr>
        <w:t>台州市基本养老服务清单</w:t>
      </w:r>
    </w:p>
    <w:tbl>
      <w:tblPr>
        <w:tblStyle w:val="16"/>
        <w:tblW w:w="891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1303"/>
        <w:gridCol w:w="750"/>
        <w:gridCol w:w="1628"/>
        <w:gridCol w:w="4048"/>
        <w:gridCol w:w="11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3" w:hRule="atLeast"/>
          <w:tblHeader/>
          <w:jc w:val="center"/>
        </w:trPr>
        <w:tc>
          <w:tcPr>
            <w:tcW w:w="130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rFonts w:eastAsia="黑体"/>
                <w:sz w:val="24"/>
              </w:rPr>
            </w:pPr>
            <w:r>
              <w:rPr>
                <w:rFonts w:eastAsia="黑体"/>
                <w:kern w:val="0"/>
                <w:sz w:val="24"/>
              </w:rPr>
              <w:t>对  象</w:t>
            </w:r>
          </w:p>
        </w:tc>
        <w:tc>
          <w:tcPr>
            <w:tcW w:w="237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eastAsia="黑体"/>
                <w:sz w:val="24"/>
              </w:rPr>
            </w:pPr>
            <w:r>
              <w:rPr>
                <w:rFonts w:eastAsia="黑体"/>
                <w:kern w:val="0"/>
                <w:sz w:val="24"/>
              </w:rPr>
              <w:t>服务项目</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rFonts w:eastAsia="黑体"/>
                <w:kern w:val="0"/>
                <w:sz w:val="24"/>
              </w:rPr>
            </w:pPr>
            <w:r>
              <w:rPr>
                <w:rFonts w:eastAsia="黑体"/>
                <w:kern w:val="0"/>
                <w:sz w:val="24"/>
              </w:rPr>
              <w:t>服 务 内 容</w:t>
            </w:r>
          </w:p>
        </w:tc>
        <w:tc>
          <w:tcPr>
            <w:tcW w:w="118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rFonts w:eastAsia="黑体"/>
                <w:sz w:val="24"/>
              </w:rPr>
            </w:pPr>
            <w:r>
              <w:rPr>
                <w:rFonts w:eastAsia="黑体"/>
                <w:kern w:val="0"/>
                <w:sz w:val="24"/>
              </w:rPr>
              <w:t>服务类型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5" w:hRule="atLeast"/>
          <w:jc w:val="center"/>
        </w:trPr>
        <w:tc>
          <w:tcPr>
            <w:tcW w:w="1303" w:type="dxa"/>
            <w:vMerge w:val="restart"/>
            <w:tcBorders>
              <w:top w:val="single" w:color="auto" w:sz="4" w:space="0"/>
              <w:left w:val="single" w:color="auto" w:sz="8" w:space="0"/>
              <w:bottom w:val="single" w:color="auto" w:sz="4" w:space="0"/>
              <w:right w:val="single" w:color="auto" w:sz="4" w:space="0"/>
            </w:tcBorders>
            <w:noWrap/>
            <w:vAlign w:val="center"/>
          </w:tcPr>
          <w:p>
            <w:pPr>
              <w:widowControl/>
              <w:spacing w:line="300" w:lineRule="exact"/>
              <w:jc w:val="center"/>
              <w:textAlignment w:val="bottom"/>
              <w:rPr>
                <w:sz w:val="24"/>
              </w:rPr>
            </w:pPr>
            <w:r>
              <w:rPr>
                <w:kern w:val="0"/>
                <w:sz w:val="24"/>
              </w:rPr>
              <w:t>达到待遇享受年龄的老年人</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1</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职工基本</w:t>
            </w:r>
          </w:p>
          <w:p>
            <w:pPr>
              <w:widowControl/>
              <w:spacing w:line="300" w:lineRule="exact"/>
              <w:jc w:val="center"/>
              <w:textAlignment w:val="bottom"/>
              <w:rPr>
                <w:sz w:val="24"/>
              </w:rPr>
            </w:pPr>
            <w:r>
              <w:rPr>
                <w:kern w:val="0"/>
                <w:sz w:val="24"/>
              </w:rPr>
              <w:t>养老保险</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为符合条件的参保老年人按时足额发放基本养老金。</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sz w:val="24"/>
              </w:rPr>
            </w:pPr>
            <w:r>
              <w:rPr>
                <w:kern w:val="0"/>
                <w:sz w:val="24"/>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2" w:hRule="atLeast"/>
          <w:jc w:val="center"/>
        </w:trPr>
        <w:tc>
          <w:tcPr>
            <w:tcW w:w="1303" w:type="dxa"/>
            <w:vMerge w:val="continue"/>
            <w:tcBorders>
              <w:top w:val="single" w:color="auto" w:sz="4" w:space="0"/>
              <w:left w:val="single" w:color="auto" w:sz="8" w:space="0"/>
              <w:bottom w:val="single" w:color="auto" w:sz="4" w:space="0"/>
              <w:right w:val="single" w:color="auto" w:sz="4" w:space="0"/>
            </w:tcBorders>
            <w:noWrap/>
            <w:vAlign w:val="center"/>
          </w:tcP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2</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城乡居民基本</w:t>
            </w:r>
          </w:p>
          <w:p>
            <w:pPr>
              <w:widowControl/>
              <w:spacing w:line="300" w:lineRule="exact"/>
              <w:jc w:val="center"/>
              <w:textAlignment w:val="bottom"/>
              <w:rPr>
                <w:sz w:val="24"/>
              </w:rPr>
            </w:pPr>
            <w:r>
              <w:rPr>
                <w:kern w:val="0"/>
                <w:sz w:val="24"/>
              </w:rPr>
              <w:t>养老保险</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spacing w:val="2"/>
                <w:kern w:val="0"/>
                <w:sz w:val="24"/>
              </w:rPr>
            </w:pPr>
            <w:r>
              <w:rPr>
                <w:spacing w:val="2"/>
                <w:kern w:val="0"/>
                <w:sz w:val="24"/>
              </w:rPr>
              <w:t>为符合条件的参保老年人发放城乡居民基本养老保险待遇。</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sz w:val="24"/>
              </w:rPr>
            </w:pPr>
            <w:r>
              <w:rPr>
                <w:kern w:val="0"/>
                <w:sz w:val="24"/>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16" w:hRule="atLeast"/>
          <w:jc w:val="center"/>
        </w:trPr>
        <w:tc>
          <w:tcPr>
            <w:tcW w:w="1303" w:type="dxa"/>
            <w:vMerge w:val="restart"/>
            <w:tcBorders>
              <w:top w:val="single" w:color="auto" w:sz="4" w:space="0"/>
              <w:left w:val="single" w:color="auto" w:sz="8" w:space="0"/>
              <w:bottom w:val="single" w:color="auto" w:sz="4" w:space="0"/>
              <w:right w:val="single" w:color="auto" w:sz="4" w:space="0"/>
            </w:tcBorders>
            <w:noWrap/>
            <w:vAlign w:val="center"/>
          </w:tcPr>
          <w:p>
            <w:pPr>
              <w:widowControl/>
              <w:spacing w:line="300" w:lineRule="exact"/>
              <w:jc w:val="center"/>
              <w:textAlignment w:val="bottom"/>
              <w:rPr>
                <w:sz w:val="24"/>
              </w:rPr>
            </w:pPr>
            <w:r>
              <w:rPr>
                <w:kern w:val="0"/>
                <w:sz w:val="24"/>
              </w:rPr>
              <w:t>老年人</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3</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老年人能力</w:t>
            </w:r>
          </w:p>
          <w:p>
            <w:pPr>
              <w:widowControl/>
              <w:spacing w:line="300" w:lineRule="exact"/>
              <w:jc w:val="center"/>
              <w:textAlignment w:val="bottom"/>
              <w:rPr>
                <w:sz w:val="24"/>
              </w:rPr>
            </w:pPr>
            <w:r>
              <w:rPr>
                <w:kern w:val="0"/>
                <w:sz w:val="24"/>
              </w:rPr>
              <w:t>综合评估</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为老年人提供能力综合评估，做好与健康状况评估的衔接。</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sz w:val="24"/>
              </w:rPr>
            </w:pPr>
            <w:r>
              <w:rPr>
                <w:kern w:val="0"/>
                <w:sz w:val="24"/>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71" w:hRule="atLeast"/>
          <w:jc w:val="center"/>
        </w:trPr>
        <w:tc>
          <w:tcPr>
            <w:tcW w:w="1303" w:type="dxa"/>
            <w:vMerge w:val="continue"/>
            <w:tcBorders>
              <w:top w:val="single" w:color="auto" w:sz="4" w:space="0"/>
              <w:left w:val="single" w:color="auto" w:sz="8" w:space="0"/>
              <w:bottom w:val="single" w:color="auto" w:sz="4" w:space="0"/>
              <w:right w:val="single" w:color="auto" w:sz="4" w:space="0"/>
            </w:tcBorders>
            <w:noWrap/>
            <w:vAlign w:val="center"/>
          </w:tcP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4</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社区居家照料</w:t>
            </w:r>
          </w:p>
          <w:p>
            <w:pPr>
              <w:widowControl/>
              <w:spacing w:line="300" w:lineRule="exact"/>
              <w:jc w:val="center"/>
              <w:textAlignment w:val="bottom"/>
              <w:rPr>
                <w:kern w:val="0"/>
                <w:sz w:val="24"/>
              </w:rPr>
            </w:pPr>
            <w:r>
              <w:rPr>
                <w:kern w:val="0"/>
                <w:sz w:val="24"/>
              </w:rPr>
              <w:t>服务</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为老年人居家养老提供相关活动场所和服务内容。</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5" w:hRule="atLeast"/>
          <w:jc w:val="center"/>
        </w:trPr>
        <w:tc>
          <w:tcPr>
            <w:tcW w:w="1303" w:type="dxa"/>
            <w:vMerge w:val="continue"/>
            <w:tcBorders>
              <w:top w:val="single" w:color="auto" w:sz="4" w:space="0"/>
              <w:left w:val="single" w:color="auto" w:sz="8" w:space="0"/>
              <w:bottom w:val="single" w:color="auto" w:sz="4" w:space="0"/>
              <w:right w:val="single" w:color="auto" w:sz="4" w:space="0"/>
            </w:tcBorders>
            <w:noWrap/>
            <w:vAlign w:val="center"/>
          </w:tcP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5</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法律服务</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对有法律服务需求的老年人，依照有关规定给予法律援助；老年人首次办理证明、确认遗嘱公证的，超过80周岁免费，70周岁至80周岁减半收费。</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关爱服务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continue"/>
            <w:tcBorders>
              <w:top w:val="single" w:color="auto" w:sz="4" w:space="0"/>
              <w:left w:val="single" w:color="auto" w:sz="8" w:space="0"/>
              <w:bottom w:val="single" w:color="auto" w:sz="4" w:space="0"/>
              <w:right w:val="single" w:color="auto" w:sz="4" w:space="0"/>
            </w:tcBorders>
            <w:noWrap/>
            <w:vAlign w:val="center"/>
          </w:tcP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rFonts w:hint="eastAsia"/>
                <w:kern w:val="0"/>
                <w:sz w:val="24"/>
                <w:lang w:eastAsia="zh-CN"/>
              </w:rPr>
              <w:t>*</w:t>
            </w:r>
            <w:r>
              <w:rPr>
                <w:kern w:val="0"/>
                <w:sz w:val="24"/>
              </w:rPr>
              <w:t>6</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助餐服务</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为有需求的老年人提供老年助餐服务。</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50" w:hRule="atLeast"/>
          <w:jc w:val="center"/>
        </w:trPr>
        <w:tc>
          <w:tcPr>
            <w:tcW w:w="1303" w:type="dxa"/>
            <w:vMerge w:val="continue"/>
            <w:tcBorders>
              <w:top w:val="single" w:color="auto" w:sz="4" w:space="0"/>
              <w:left w:val="single" w:color="auto" w:sz="8" w:space="0"/>
              <w:bottom w:val="single" w:color="auto" w:sz="4" w:space="0"/>
              <w:right w:val="single" w:color="auto" w:sz="4" w:space="0"/>
            </w:tcBorders>
            <w:noWrap/>
            <w:vAlign w:val="center"/>
          </w:tcP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rFonts w:hint="eastAsia"/>
                <w:kern w:val="0"/>
                <w:sz w:val="24"/>
                <w:lang w:eastAsia="zh-CN"/>
              </w:rPr>
              <w:t>*</w:t>
            </w:r>
            <w:r>
              <w:rPr>
                <w:kern w:val="0"/>
                <w:sz w:val="24"/>
              </w:rPr>
              <w:t>7</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意外伤害保险</w:t>
            </w:r>
          </w:p>
          <w:p>
            <w:pPr>
              <w:widowControl/>
              <w:spacing w:line="300" w:lineRule="exact"/>
              <w:jc w:val="center"/>
              <w:textAlignment w:val="bottom"/>
              <w:rPr>
                <w:kern w:val="0"/>
                <w:sz w:val="24"/>
              </w:rPr>
            </w:pPr>
            <w:r>
              <w:rPr>
                <w:kern w:val="0"/>
                <w:sz w:val="24"/>
              </w:rPr>
              <w:t>补贴</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为符合条件的低保、低边及高龄、特殊困难老年人提供意外伤害保险补贴。</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68" w:hRule="atLeast"/>
          <w:jc w:val="center"/>
        </w:trPr>
        <w:tc>
          <w:tcPr>
            <w:tcW w:w="1303" w:type="dxa"/>
            <w:tcBorders>
              <w:top w:val="single" w:color="auto" w:sz="4" w:space="0"/>
              <w:left w:val="single" w:color="auto" w:sz="8"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rFonts w:hint="eastAsia"/>
                <w:kern w:val="0"/>
                <w:sz w:val="24"/>
                <w:lang w:eastAsia="zh-CN"/>
              </w:rPr>
              <w:t>*</w:t>
            </w:r>
            <w:r>
              <w:rPr>
                <w:kern w:val="0"/>
                <w:sz w:val="24"/>
              </w:rPr>
              <w:t>参加基本医疗保险的老年人</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rFonts w:hint="eastAsia"/>
                <w:kern w:val="0"/>
                <w:sz w:val="24"/>
                <w:lang w:eastAsia="zh-CN"/>
              </w:rPr>
              <w:t>*</w:t>
            </w:r>
            <w:r>
              <w:rPr>
                <w:kern w:val="0"/>
                <w:sz w:val="24"/>
              </w:rPr>
              <w:t>8</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老年人健康体检</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为符合条件的参保老年人提供免费健康体检。</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关爱服务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91" w:hRule="atLeast"/>
          <w:jc w:val="center"/>
        </w:trPr>
        <w:tc>
          <w:tcPr>
            <w:tcW w:w="1303" w:type="dxa"/>
            <w:tcBorders>
              <w:top w:val="single" w:color="auto" w:sz="4" w:space="0"/>
              <w:left w:val="single" w:color="auto" w:sz="8"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80周岁</w:t>
            </w:r>
          </w:p>
          <w:p>
            <w:pPr>
              <w:widowControl/>
              <w:spacing w:line="300" w:lineRule="exact"/>
              <w:jc w:val="center"/>
              <w:textAlignment w:val="bottom"/>
              <w:rPr>
                <w:sz w:val="24"/>
              </w:rPr>
            </w:pPr>
            <w:r>
              <w:rPr>
                <w:kern w:val="0"/>
                <w:sz w:val="24"/>
              </w:rPr>
              <w:t>以上老年人</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rFonts w:hint="eastAsia"/>
                <w:kern w:val="0"/>
                <w:sz w:val="24"/>
                <w:lang w:eastAsia="zh-CN"/>
              </w:rPr>
              <w:t>*</w:t>
            </w:r>
            <w:r>
              <w:rPr>
                <w:kern w:val="0"/>
                <w:sz w:val="24"/>
              </w:rPr>
              <w:t>9</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color w:val="000000"/>
                <w:sz w:val="24"/>
              </w:rPr>
            </w:pPr>
            <w:r>
              <w:rPr>
                <w:color w:val="000000"/>
                <w:kern w:val="0"/>
                <w:sz w:val="24"/>
              </w:rPr>
              <w:t>高龄津贴</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color w:val="000000"/>
                <w:kern w:val="0"/>
                <w:sz w:val="24"/>
              </w:rPr>
            </w:pPr>
            <w:r>
              <w:rPr>
                <w:color w:val="000000"/>
                <w:kern w:val="0"/>
                <w:sz w:val="24"/>
              </w:rPr>
              <w:t>为80周岁以上老年人发放高龄津贴，90周岁以上可适当提高标准，县域范围内城乡同质同标；</w:t>
            </w:r>
            <w:r>
              <w:rPr>
                <w:rFonts w:hint="eastAsia"/>
                <w:color w:val="000000"/>
                <w:kern w:val="0"/>
                <w:sz w:val="24"/>
                <w:lang w:eastAsia="zh-CN"/>
              </w:rPr>
              <w:t>为</w:t>
            </w:r>
            <w:r>
              <w:rPr>
                <w:color w:val="000000"/>
                <w:kern w:val="0"/>
                <w:sz w:val="24"/>
              </w:rPr>
              <w:t>100周岁以上老年人发放长寿保健补助金（不重复享受）。</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sz w:val="24"/>
              </w:rPr>
            </w:pPr>
            <w:r>
              <w:rPr>
                <w:kern w:val="0"/>
                <w:sz w:val="24"/>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2" w:hRule="atLeast"/>
          <w:jc w:val="center"/>
        </w:trPr>
        <w:tc>
          <w:tcPr>
            <w:tcW w:w="1303" w:type="dxa"/>
            <w:vMerge w:val="restart"/>
            <w:tcBorders>
              <w:top w:val="single" w:color="auto" w:sz="4" w:space="0"/>
              <w:left w:val="single" w:color="auto" w:sz="8" w:space="0"/>
              <w:bottom w:val="single" w:color="auto" w:sz="4" w:space="0"/>
              <w:right w:val="single" w:color="auto" w:sz="4" w:space="0"/>
            </w:tcBorders>
            <w:noWrap/>
            <w:vAlign w:val="center"/>
          </w:tcPr>
          <w:p>
            <w:pPr>
              <w:spacing w:line="300" w:lineRule="exact"/>
              <w:jc w:val="center"/>
              <w:rPr>
                <w:sz w:val="24"/>
              </w:rPr>
            </w:pPr>
            <w:r>
              <w:rPr>
                <w:sz w:val="24"/>
              </w:rPr>
              <w:t>经济困难的老年人</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10</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养老服务补贴</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为经济困难的老年人提供养老服务补贴。</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照护服务</w:t>
            </w:r>
          </w:p>
          <w:p>
            <w:pPr>
              <w:widowControl/>
              <w:spacing w:line="300" w:lineRule="exact"/>
              <w:jc w:val="center"/>
              <w:textAlignment w:val="bottom"/>
              <w:rPr>
                <w:kern w:val="0"/>
                <w:sz w:val="24"/>
              </w:rPr>
            </w:pPr>
            <w:r>
              <w:rPr>
                <w:kern w:val="0"/>
                <w:sz w:val="24"/>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1" w:hRule="atLeast"/>
          <w:jc w:val="center"/>
        </w:trPr>
        <w:tc>
          <w:tcPr>
            <w:tcW w:w="1303" w:type="dxa"/>
            <w:vMerge w:val="continue"/>
            <w:tcBorders>
              <w:top w:val="single" w:color="auto" w:sz="4" w:space="0"/>
              <w:left w:val="single" w:color="auto" w:sz="8" w:space="0"/>
              <w:bottom w:val="single" w:color="auto" w:sz="4" w:space="0"/>
              <w:right w:val="single" w:color="auto" w:sz="4" w:space="0"/>
            </w:tcBorders>
            <w:noWrap/>
            <w:vAlign w:val="center"/>
          </w:tcP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11</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sz w:val="24"/>
              </w:rPr>
            </w:pPr>
            <w:r>
              <w:rPr>
                <w:kern w:val="0"/>
                <w:sz w:val="24"/>
              </w:rPr>
              <w:t>家庭适老化改造</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按照相关标准，为经济困难的老年人家庭提供适老化改造服务。</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sz w:val="24"/>
              </w:rPr>
            </w:pPr>
            <w:r>
              <w:rPr>
                <w:kern w:val="0"/>
                <w:sz w:val="24"/>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303" w:type="dxa"/>
            <w:vMerge w:val="restart"/>
            <w:tcBorders>
              <w:top w:val="single" w:color="auto" w:sz="4" w:space="0"/>
              <w:left w:val="single" w:color="auto" w:sz="8" w:space="0"/>
              <w:bottom w:val="single" w:color="auto" w:sz="4" w:space="0"/>
              <w:right w:val="single" w:color="auto" w:sz="4" w:space="0"/>
            </w:tcBorders>
            <w:noWrap/>
            <w:vAlign w:val="center"/>
          </w:tcPr>
          <w:p>
            <w:pPr>
              <w:widowControl/>
              <w:spacing w:line="300" w:lineRule="exact"/>
              <w:jc w:val="center"/>
              <w:textAlignment w:val="bottom"/>
              <w:rPr>
                <w:sz w:val="24"/>
              </w:rPr>
            </w:pPr>
            <w:r>
              <w:rPr>
                <w:kern w:val="0"/>
                <w:sz w:val="24"/>
              </w:rPr>
              <w:t>生活不能自理的老年人</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12</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sz w:val="24"/>
              </w:rPr>
            </w:pPr>
            <w:r>
              <w:rPr>
                <w:kern w:val="0"/>
                <w:sz w:val="24"/>
              </w:rPr>
              <w:t>护理补贴</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为符合条件的失能老年人提供护理补贴。</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sz w:val="24"/>
              </w:rPr>
            </w:pPr>
            <w:r>
              <w:rPr>
                <w:kern w:val="0"/>
                <w:sz w:val="24"/>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15" w:hRule="atLeast"/>
          <w:jc w:val="center"/>
        </w:trPr>
        <w:tc>
          <w:tcPr>
            <w:tcW w:w="1303" w:type="dxa"/>
            <w:vMerge w:val="continue"/>
            <w:tcBorders>
              <w:top w:val="single" w:color="auto" w:sz="4" w:space="0"/>
              <w:left w:val="single" w:color="auto" w:sz="8" w:space="0"/>
              <w:bottom w:val="single" w:color="auto" w:sz="4" w:space="0"/>
              <w:right w:val="single" w:color="auto" w:sz="4" w:space="0"/>
            </w:tcBorders>
            <w:noWrap/>
            <w:vAlign w:val="center"/>
          </w:tcP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13</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家庭养老</w:t>
            </w:r>
          </w:p>
          <w:p>
            <w:pPr>
              <w:widowControl/>
              <w:spacing w:line="300" w:lineRule="exact"/>
              <w:jc w:val="center"/>
              <w:textAlignment w:val="bottom"/>
              <w:rPr>
                <w:sz w:val="24"/>
              </w:rPr>
            </w:pPr>
            <w:r>
              <w:rPr>
                <w:kern w:val="0"/>
                <w:sz w:val="24"/>
              </w:rPr>
              <w:t>支持服务</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对符</w:t>
            </w:r>
            <w:r>
              <w:rPr>
                <w:spacing w:val="2"/>
                <w:kern w:val="0"/>
                <w:sz w:val="24"/>
              </w:rPr>
              <w:t>合条件的失能老年人家庭成员参加照护培训等相关职业技能培训的，按规定给予职业技能培训补贴</w:t>
            </w:r>
            <w:r>
              <w:rPr>
                <w:kern w:val="0"/>
                <w:sz w:val="24"/>
              </w:rPr>
              <w:t>。</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sz w:val="24"/>
              </w:rPr>
            </w:pPr>
            <w:r>
              <w:rPr>
                <w:kern w:val="0"/>
                <w:sz w:val="24"/>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02" w:hRule="atLeast"/>
          <w:jc w:val="center"/>
        </w:trPr>
        <w:tc>
          <w:tcPr>
            <w:tcW w:w="1303" w:type="dxa"/>
            <w:tcBorders>
              <w:top w:val="single" w:color="auto" w:sz="4" w:space="0"/>
              <w:left w:val="single" w:color="auto" w:sz="8" w:space="0"/>
              <w:bottom w:val="single" w:color="auto" w:sz="4" w:space="0"/>
              <w:right w:val="single" w:color="auto" w:sz="4" w:space="0"/>
            </w:tcBorders>
            <w:noWrap/>
            <w:vAlign w:val="center"/>
          </w:tcPr>
          <w:p>
            <w:pPr>
              <w:widowControl/>
              <w:spacing w:line="300" w:lineRule="exact"/>
              <w:jc w:val="center"/>
              <w:textAlignment w:val="bottom"/>
              <w:rPr>
                <w:sz w:val="24"/>
              </w:rPr>
            </w:pPr>
            <w:r>
              <w:rPr>
                <w:kern w:val="0"/>
                <w:sz w:val="24"/>
              </w:rPr>
              <w:t>低保老年人</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14</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sz w:val="24"/>
              </w:rPr>
            </w:pPr>
            <w:r>
              <w:rPr>
                <w:kern w:val="0"/>
                <w:sz w:val="24"/>
              </w:rPr>
              <w:t>最低社会保障</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对获得最低生活保障金后生活仍有困难的老年人，采取必要措施给予生活保障。</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sz w:val="24"/>
              </w:rPr>
            </w:pPr>
            <w:r>
              <w:rPr>
                <w:kern w:val="0"/>
                <w:sz w:val="24"/>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4" w:hRule="atLeast"/>
          <w:jc w:val="center"/>
        </w:trPr>
        <w:tc>
          <w:tcPr>
            <w:tcW w:w="1303" w:type="dxa"/>
            <w:vMerge w:val="restart"/>
            <w:tcBorders>
              <w:top w:val="single" w:color="auto" w:sz="4" w:space="0"/>
              <w:left w:val="single" w:color="auto" w:sz="8" w:space="0"/>
              <w:bottom w:val="single" w:color="auto" w:sz="4" w:space="0"/>
              <w:right w:val="single" w:color="auto" w:sz="4" w:space="0"/>
            </w:tcBorders>
            <w:noWrap/>
            <w:vAlign w:val="center"/>
          </w:tcPr>
          <w:p>
            <w:pPr>
              <w:widowControl/>
              <w:spacing w:line="300" w:lineRule="exact"/>
              <w:jc w:val="center"/>
              <w:textAlignment w:val="bottom"/>
              <w:rPr>
                <w:sz w:val="24"/>
              </w:rPr>
            </w:pPr>
            <w:r>
              <w:rPr>
                <w:kern w:val="0"/>
                <w:sz w:val="24"/>
              </w:rPr>
              <w:t>特困老年人</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15</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sz w:val="24"/>
              </w:rPr>
            </w:pPr>
            <w:r>
              <w:rPr>
                <w:kern w:val="0"/>
                <w:sz w:val="24"/>
              </w:rPr>
              <w:t>分散供养</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 xml:space="preserve">由县级民政部门依照有关规定提供基本生活条件、疾病治疗、办理丧葬事宜等服务，对生活不能自理的给予照料。 </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29" w:hRule="atLeast"/>
          <w:jc w:val="center"/>
        </w:trPr>
        <w:tc>
          <w:tcPr>
            <w:tcW w:w="1303" w:type="dxa"/>
            <w:vMerge w:val="continue"/>
            <w:tcBorders>
              <w:top w:val="single" w:color="auto" w:sz="4" w:space="0"/>
              <w:left w:val="single" w:color="auto" w:sz="8" w:space="0"/>
              <w:bottom w:val="single" w:color="auto" w:sz="4" w:space="0"/>
              <w:right w:val="single" w:color="auto" w:sz="4" w:space="0"/>
            </w:tcBorders>
            <w:noWrap/>
            <w:vAlign w:val="center"/>
          </w:tcP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16</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sz w:val="24"/>
              </w:rPr>
            </w:pPr>
            <w:r>
              <w:rPr>
                <w:kern w:val="0"/>
                <w:sz w:val="24"/>
              </w:rPr>
              <w:t>集中供养</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spacing w:val="2"/>
                <w:kern w:val="0"/>
                <w:sz w:val="24"/>
              </w:rPr>
              <w:t>由县级政府民政部门按照便于管理的原则，就近安</w:t>
            </w:r>
            <w:r>
              <w:rPr>
                <w:kern w:val="0"/>
                <w:sz w:val="24"/>
              </w:rPr>
              <w:t>排到相应的供养服务机构，提供基本生活条件、疾病治疗、办理丧葬事宜等服务，对生活不能自理的给予照料。</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sz w:val="24"/>
              </w:rPr>
            </w:pPr>
            <w:r>
              <w:rPr>
                <w:kern w:val="0"/>
                <w:sz w:val="24"/>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12" w:hRule="atLeast"/>
          <w:jc w:val="center"/>
        </w:trPr>
        <w:tc>
          <w:tcPr>
            <w:tcW w:w="1303" w:type="dxa"/>
            <w:tcBorders>
              <w:top w:val="single" w:color="auto" w:sz="4" w:space="0"/>
              <w:left w:val="single" w:color="auto" w:sz="8"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特殊困难</w:t>
            </w:r>
          </w:p>
          <w:p>
            <w:pPr>
              <w:widowControl/>
              <w:spacing w:line="300" w:lineRule="exact"/>
              <w:jc w:val="center"/>
              <w:textAlignment w:val="bottom"/>
              <w:rPr>
                <w:kern w:val="0"/>
                <w:sz w:val="24"/>
              </w:rPr>
            </w:pPr>
            <w:r>
              <w:rPr>
                <w:kern w:val="0"/>
                <w:sz w:val="24"/>
              </w:rPr>
              <w:t>老年人</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17</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探访服务</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spacing w:val="-4"/>
                <w:kern w:val="0"/>
                <w:sz w:val="24"/>
              </w:rPr>
            </w:pPr>
            <w:r>
              <w:rPr>
                <w:spacing w:val="-4"/>
                <w:kern w:val="0"/>
                <w:sz w:val="24"/>
              </w:rPr>
              <w:t>面向常住的独居、空巢、留守、失能、重残、计划生育特殊困难老年人提供探访关爱服务。</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关爱服务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0" w:hRule="atLeast"/>
          <w:jc w:val="center"/>
        </w:trPr>
        <w:tc>
          <w:tcPr>
            <w:tcW w:w="1303" w:type="dxa"/>
            <w:vMerge w:val="restart"/>
            <w:tcBorders>
              <w:top w:val="single" w:color="auto" w:sz="4" w:space="0"/>
              <w:left w:val="single" w:color="auto" w:sz="8"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计划生育</w:t>
            </w:r>
          </w:p>
          <w:p>
            <w:pPr>
              <w:widowControl/>
              <w:spacing w:line="300" w:lineRule="exact"/>
              <w:jc w:val="center"/>
              <w:textAlignment w:val="bottom"/>
              <w:rPr>
                <w:kern w:val="0"/>
                <w:sz w:val="24"/>
              </w:rPr>
            </w:pPr>
            <w:r>
              <w:rPr>
                <w:kern w:val="0"/>
                <w:sz w:val="24"/>
              </w:rPr>
              <w:t>特殊家庭</w:t>
            </w:r>
          </w:p>
          <w:p>
            <w:pPr>
              <w:widowControl/>
              <w:spacing w:line="300" w:lineRule="exact"/>
              <w:jc w:val="center"/>
              <w:textAlignment w:val="bottom"/>
              <w:rPr>
                <w:kern w:val="0"/>
                <w:sz w:val="24"/>
              </w:rPr>
            </w:pPr>
            <w:r>
              <w:rPr>
                <w:kern w:val="0"/>
                <w:sz w:val="24"/>
              </w:rPr>
              <w:t>老年人</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18</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机构养老</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spacing w:val="-6"/>
                <w:kern w:val="0"/>
                <w:sz w:val="24"/>
              </w:rPr>
            </w:pPr>
            <w:r>
              <w:rPr>
                <w:spacing w:val="-6"/>
                <w:kern w:val="0"/>
                <w:sz w:val="24"/>
              </w:rPr>
              <w:t>同等条件下优先入住政府投资兴办的养老机构。</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12" w:hRule="atLeast"/>
          <w:jc w:val="center"/>
        </w:trPr>
        <w:tc>
          <w:tcPr>
            <w:tcW w:w="1303" w:type="dxa"/>
            <w:vMerge w:val="continue"/>
            <w:tcBorders>
              <w:top w:val="single" w:color="auto" w:sz="4" w:space="0"/>
              <w:left w:val="single" w:color="auto" w:sz="8" w:space="0"/>
              <w:bottom w:val="single" w:color="auto" w:sz="4" w:space="0"/>
              <w:right w:val="single" w:color="auto" w:sz="4" w:space="0"/>
            </w:tcBorders>
            <w:noWrap/>
            <w:vAlign w:val="center"/>
          </w:tcP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rFonts w:hint="eastAsia"/>
                <w:kern w:val="0"/>
                <w:sz w:val="24"/>
                <w:lang w:eastAsia="zh-CN"/>
              </w:rPr>
              <w:t>*</w:t>
            </w:r>
            <w:r>
              <w:rPr>
                <w:kern w:val="0"/>
                <w:sz w:val="24"/>
              </w:rPr>
              <w:t>19</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养老服务补贴</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spacing w:val="-6"/>
                <w:kern w:val="0"/>
                <w:sz w:val="24"/>
              </w:rPr>
            </w:pPr>
            <w:r>
              <w:rPr>
                <w:spacing w:val="-6"/>
                <w:kern w:val="0"/>
                <w:sz w:val="24"/>
              </w:rPr>
              <w:t>为计划生育特殊家庭中失能、失智、高龄老年人提供养老服务补贴。</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照护服务</w:t>
            </w:r>
          </w:p>
          <w:p>
            <w:pPr>
              <w:widowControl/>
              <w:spacing w:line="300" w:lineRule="exact"/>
              <w:jc w:val="center"/>
              <w:textAlignment w:val="bottom"/>
              <w:rPr>
                <w:kern w:val="0"/>
                <w:sz w:val="24"/>
              </w:rPr>
            </w:pPr>
            <w:r>
              <w:rPr>
                <w:kern w:val="0"/>
                <w:sz w:val="24"/>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17" w:hRule="atLeast"/>
          <w:jc w:val="center"/>
        </w:trPr>
        <w:tc>
          <w:tcPr>
            <w:tcW w:w="1303" w:type="dxa"/>
            <w:vMerge w:val="restart"/>
            <w:tcBorders>
              <w:top w:val="single" w:color="auto" w:sz="4" w:space="0"/>
              <w:left w:val="single" w:color="auto" w:sz="8"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经认定符合条件的残疾老年人</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20</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困难残疾人生活补贴和重度残疾人护理补贴</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为低保家庭中的残疾老年人提供生活补贴，为残疾等级被评定为一级、二级的重度残疾老年人和三级、四级智力、精神残疾老年人提供护理补贴。</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48" w:hRule="atLeast"/>
          <w:jc w:val="center"/>
        </w:trPr>
        <w:tc>
          <w:tcPr>
            <w:tcW w:w="1303" w:type="dxa"/>
            <w:vMerge w:val="continue"/>
            <w:tcBorders>
              <w:top w:val="single" w:color="auto" w:sz="4" w:space="0"/>
              <w:left w:val="single" w:color="auto" w:sz="8" w:space="0"/>
              <w:bottom w:val="single" w:color="auto" w:sz="4" w:space="0"/>
              <w:right w:val="single" w:color="auto" w:sz="4" w:space="0"/>
            </w:tcBorders>
            <w:noWrap/>
            <w:vAlign w:val="center"/>
          </w:tcP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rFonts w:hint="eastAsia"/>
                <w:kern w:val="0"/>
                <w:sz w:val="24"/>
                <w:lang w:eastAsia="zh-CN"/>
              </w:rPr>
              <w:t>*</w:t>
            </w:r>
            <w:r>
              <w:rPr>
                <w:kern w:val="0"/>
                <w:sz w:val="24"/>
              </w:rPr>
              <w:t>21</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无障碍改造</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为经评估符合条件的残疾老年人提供家庭无障碍改造。</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58" w:hRule="atLeast"/>
          <w:jc w:val="center"/>
        </w:trPr>
        <w:tc>
          <w:tcPr>
            <w:tcW w:w="1303" w:type="dxa"/>
            <w:vMerge w:val="continue"/>
            <w:tcBorders>
              <w:top w:val="single" w:color="auto" w:sz="4" w:space="0"/>
              <w:left w:val="single" w:color="auto" w:sz="8" w:space="0"/>
              <w:bottom w:val="single" w:color="auto" w:sz="4" w:space="0"/>
              <w:right w:val="single" w:color="auto" w:sz="4" w:space="0"/>
            </w:tcBorders>
            <w:noWrap/>
            <w:vAlign w:val="center"/>
          </w:tcP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rFonts w:hint="eastAsia"/>
                <w:kern w:val="0"/>
                <w:sz w:val="24"/>
                <w:lang w:eastAsia="zh-CN"/>
              </w:rPr>
              <w:t>*</w:t>
            </w:r>
            <w:r>
              <w:rPr>
                <w:kern w:val="0"/>
                <w:sz w:val="24"/>
              </w:rPr>
              <w:t>22</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辅助器具配置</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为符合条件且有需求的残疾老年人免费提供相应的辅助器具或对其购买辅助器具给予一定补贴。</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5" w:hRule="atLeast"/>
          <w:jc w:val="center"/>
        </w:trPr>
        <w:tc>
          <w:tcPr>
            <w:tcW w:w="1303" w:type="dxa"/>
            <w:tcBorders>
              <w:top w:val="single" w:color="auto" w:sz="4" w:space="0"/>
              <w:left w:val="single" w:color="auto" w:sz="8"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生活无着的流浪、乞讨老年人</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23</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社会救助</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kern w:val="0"/>
                <w:sz w:val="24"/>
              </w:rPr>
            </w:pPr>
            <w:r>
              <w:rPr>
                <w:kern w:val="0"/>
                <w:sz w:val="24"/>
              </w:rPr>
              <w:t>依照有关规定给予救助。</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物质帮助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81" w:hRule="atLeast"/>
          <w:jc w:val="center"/>
        </w:trPr>
        <w:tc>
          <w:tcPr>
            <w:tcW w:w="1303" w:type="dxa"/>
            <w:vMerge w:val="restart"/>
            <w:tcBorders>
              <w:top w:val="single" w:color="auto" w:sz="4" w:space="0"/>
              <w:left w:val="single" w:color="auto" w:sz="8"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对国家和</w:t>
            </w:r>
          </w:p>
          <w:p>
            <w:pPr>
              <w:widowControl/>
              <w:spacing w:line="300" w:lineRule="exact"/>
              <w:jc w:val="center"/>
              <w:textAlignment w:val="bottom"/>
              <w:rPr>
                <w:kern w:val="0"/>
                <w:sz w:val="24"/>
              </w:rPr>
            </w:pPr>
            <w:r>
              <w:rPr>
                <w:kern w:val="0"/>
                <w:sz w:val="24"/>
              </w:rPr>
              <w:t>社会作出</w:t>
            </w:r>
          </w:p>
          <w:p>
            <w:pPr>
              <w:widowControl/>
              <w:spacing w:line="300" w:lineRule="exact"/>
              <w:jc w:val="center"/>
              <w:textAlignment w:val="bottom"/>
              <w:rPr>
                <w:kern w:val="0"/>
                <w:sz w:val="24"/>
              </w:rPr>
            </w:pPr>
            <w:r>
              <w:rPr>
                <w:kern w:val="0"/>
                <w:sz w:val="24"/>
              </w:rPr>
              <w:t>特殊贡献的老年人</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rFonts w:hint="eastAsia"/>
                <w:kern w:val="0"/>
                <w:sz w:val="24"/>
                <w:lang w:eastAsia="zh-CN"/>
              </w:rPr>
              <w:t>*</w:t>
            </w:r>
            <w:r>
              <w:rPr>
                <w:kern w:val="0"/>
                <w:sz w:val="24"/>
              </w:rPr>
              <w:t>24</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rFonts w:ascii="仿宋_GB2312"/>
                <w:kern w:val="0"/>
                <w:sz w:val="24"/>
              </w:rPr>
            </w:pPr>
            <w:r>
              <w:rPr>
                <w:rFonts w:hint="eastAsia" w:ascii="仿宋_GB2312"/>
                <w:kern w:val="0"/>
                <w:sz w:val="24"/>
              </w:rPr>
              <w:t>机构养老</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rFonts w:ascii="仿宋_GB2312"/>
                <w:spacing w:val="2"/>
                <w:kern w:val="0"/>
                <w:sz w:val="24"/>
              </w:rPr>
            </w:pPr>
            <w:r>
              <w:rPr>
                <w:rFonts w:hint="eastAsia" w:ascii="仿宋_GB2312"/>
                <w:spacing w:val="2"/>
                <w:kern w:val="0"/>
                <w:sz w:val="24"/>
              </w:rPr>
              <w:t>为老年残疾军人、退役军人、“三属”人员、道德典型，提供集中供养、医疗等保障；鼓励各级各类养老机构优先接收，提供适度价格优惠。没有兴建光荣院的地区，政府投资兴办的养老机构应当优先保障孤老或生活不能自理的老年残疾军人供养服务需求。</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66" w:hRule="atLeast"/>
          <w:jc w:val="center"/>
        </w:trPr>
        <w:tc>
          <w:tcPr>
            <w:tcW w:w="1303" w:type="dxa"/>
            <w:vMerge w:val="continue"/>
            <w:tcBorders>
              <w:top w:val="single" w:color="auto" w:sz="4" w:space="0"/>
              <w:left w:val="single" w:color="auto" w:sz="8" w:space="0"/>
              <w:bottom w:val="single" w:color="auto" w:sz="4" w:space="0"/>
              <w:right w:val="single" w:color="auto" w:sz="4" w:space="0"/>
            </w:tcBorders>
            <w:noWrap/>
            <w:vAlign w:val="center"/>
          </w:tcP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rFonts w:hint="eastAsia"/>
                <w:kern w:val="0"/>
                <w:sz w:val="24"/>
                <w:lang w:eastAsia="zh-CN"/>
              </w:rPr>
              <w:t>*</w:t>
            </w:r>
            <w:r>
              <w:rPr>
                <w:kern w:val="0"/>
                <w:sz w:val="24"/>
              </w:rPr>
              <w:t>25</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rFonts w:ascii="仿宋_GB2312"/>
                <w:kern w:val="0"/>
                <w:sz w:val="24"/>
              </w:rPr>
            </w:pPr>
            <w:r>
              <w:rPr>
                <w:rFonts w:hint="eastAsia" w:ascii="仿宋_GB2312"/>
                <w:kern w:val="0"/>
                <w:sz w:val="24"/>
              </w:rPr>
              <w:t>优先享受</w:t>
            </w:r>
          </w:p>
          <w:p>
            <w:pPr>
              <w:widowControl/>
              <w:spacing w:line="300" w:lineRule="exact"/>
              <w:jc w:val="center"/>
              <w:textAlignment w:val="bottom"/>
              <w:rPr>
                <w:rFonts w:ascii="仿宋_GB2312"/>
                <w:kern w:val="0"/>
                <w:sz w:val="24"/>
              </w:rPr>
            </w:pPr>
            <w:r>
              <w:rPr>
                <w:rFonts w:hint="eastAsia" w:ascii="仿宋_GB2312"/>
                <w:kern w:val="0"/>
                <w:sz w:val="24"/>
              </w:rPr>
              <w:t>居家服务</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rFonts w:ascii="仿宋_GB2312"/>
                <w:kern w:val="0"/>
                <w:sz w:val="24"/>
              </w:rPr>
            </w:pPr>
            <w:r>
              <w:rPr>
                <w:rFonts w:hint="eastAsia" w:ascii="仿宋_GB2312"/>
                <w:kern w:val="0"/>
                <w:sz w:val="24"/>
              </w:rPr>
              <w:t>优先安排老年残疾军人、退役军人、“三属”人员、道德典型享受居家养老日常照料等服务。</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关爱服务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10" w:hRule="atLeast"/>
          <w:jc w:val="center"/>
        </w:trPr>
        <w:tc>
          <w:tcPr>
            <w:tcW w:w="1303" w:type="dxa"/>
            <w:vMerge w:val="continue"/>
            <w:tcBorders>
              <w:top w:val="single" w:color="auto" w:sz="4" w:space="0"/>
              <w:left w:val="single" w:color="auto" w:sz="8" w:space="0"/>
              <w:bottom w:val="single" w:color="auto" w:sz="4" w:space="0"/>
              <w:right w:val="single" w:color="auto" w:sz="4" w:space="0"/>
            </w:tcBorders>
            <w:noWrap/>
            <w:vAlign w:val="center"/>
          </w:tcP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26</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rFonts w:ascii="仿宋_GB2312"/>
                <w:kern w:val="0"/>
                <w:sz w:val="24"/>
              </w:rPr>
            </w:pPr>
            <w:r>
              <w:rPr>
                <w:rFonts w:hint="eastAsia" w:ascii="仿宋_GB2312"/>
                <w:kern w:val="0"/>
                <w:sz w:val="24"/>
              </w:rPr>
              <w:t>供养保障</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rFonts w:ascii="仿宋_GB2312"/>
                <w:kern w:val="0"/>
                <w:sz w:val="24"/>
              </w:rPr>
            </w:pPr>
            <w:r>
              <w:rPr>
                <w:rFonts w:hint="eastAsia" w:ascii="仿宋_GB2312"/>
                <w:kern w:val="0"/>
                <w:sz w:val="24"/>
              </w:rPr>
              <w:t>对见义勇为致残导致完全丧失劳动能力且生活不能自理、家庭供养困难的人</w:t>
            </w:r>
            <w:r>
              <w:rPr>
                <w:rFonts w:hint="eastAsia" w:ascii="仿宋_GB2312"/>
                <w:spacing w:val="2"/>
                <w:kern w:val="0"/>
                <w:sz w:val="24"/>
              </w:rPr>
              <w:t>员，按有关规定落实供养保障</w:t>
            </w:r>
            <w:r>
              <w:rPr>
                <w:rFonts w:hint="eastAsia" w:ascii="仿宋_GB2312"/>
                <w:kern w:val="0"/>
                <w:sz w:val="24"/>
              </w:rPr>
              <w:t>。</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照护服务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22" w:hRule="atLeast"/>
          <w:jc w:val="center"/>
        </w:trPr>
        <w:tc>
          <w:tcPr>
            <w:tcW w:w="1303" w:type="dxa"/>
            <w:tcBorders>
              <w:top w:val="single" w:color="auto" w:sz="4" w:space="0"/>
              <w:left w:val="single" w:color="auto" w:sz="8"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子女为台州户籍的外地老年人</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27</w:t>
            </w:r>
          </w:p>
        </w:tc>
        <w:tc>
          <w:tcPr>
            <w:tcW w:w="162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textAlignment w:val="bottom"/>
              <w:rPr>
                <w:kern w:val="0"/>
                <w:sz w:val="24"/>
              </w:rPr>
            </w:pPr>
            <w:r>
              <w:rPr>
                <w:kern w:val="0"/>
                <w:sz w:val="24"/>
              </w:rPr>
              <w:t>老年父母投靠</w:t>
            </w:r>
          </w:p>
          <w:p>
            <w:pPr>
              <w:widowControl/>
              <w:spacing w:line="300" w:lineRule="exact"/>
              <w:jc w:val="center"/>
              <w:textAlignment w:val="bottom"/>
              <w:rPr>
                <w:kern w:val="0"/>
                <w:sz w:val="24"/>
              </w:rPr>
            </w:pPr>
            <w:r>
              <w:rPr>
                <w:kern w:val="0"/>
                <w:sz w:val="24"/>
              </w:rPr>
              <w:t>成年子女落户</w:t>
            </w:r>
          </w:p>
        </w:tc>
        <w:tc>
          <w:tcPr>
            <w:tcW w:w="404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textAlignment w:val="bottom"/>
              <w:rPr>
                <w:spacing w:val="4"/>
                <w:kern w:val="0"/>
                <w:sz w:val="24"/>
              </w:rPr>
            </w:pPr>
            <w:r>
              <w:rPr>
                <w:kern w:val="0"/>
                <w:sz w:val="24"/>
              </w:rPr>
              <w:t>男性年满60周岁，女</w:t>
            </w:r>
            <w:r>
              <w:rPr>
                <w:spacing w:val="4"/>
                <w:kern w:val="0"/>
                <w:sz w:val="24"/>
              </w:rPr>
              <w:t>性年满55周岁，</w:t>
            </w:r>
            <w:r>
              <w:rPr>
                <w:spacing w:val="4"/>
                <w:sz w:val="24"/>
              </w:rPr>
              <w:t>申报户口投靠城镇地区成年子女。与城镇成年子女共同居住生活，并已领取《浙江省居住证》的父母，申报户口投靠城镇地区成年子女的，不受前款年龄限制。</w:t>
            </w:r>
          </w:p>
        </w:tc>
        <w:tc>
          <w:tcPr>
            <w:tcW w:w="1189" w:type="dxa"/>
            <w:tcBorders>
              <w:top w:val="single" w:color="auto" w:sz="4" w:space="0"/>
              <w:left w:val="single" w:color="auto" w:sz="4" w:space="0"/>
              <w:bottom w:val="single" w:color="auto" w:sz="4" w:space="0"/>
              <w:right w:val="single" w:color="auto" w:sz="8" w:space="0"/>
            </w:tcBorders>
            <w:noWrap/>
            <w:vAlign w:val="center"/>
          </w:tcPr>
          <w:p>
            <w:pPr>
              <w:widowControl/>
              <w:spacing w:line="300" w:lineRule="exact"/>
              <w:jc w:val="center"/>
              <w:textAlignment w:val="bottom"/>
              <w:rPr>
                <w:kern w:val="0"/>
                <w:sz w:val="24"/>
              </w:rPr>
            </w:pPr>
            <w:r>
              <w:rPr>
                <w:kern w:val="0"/>
                <w:sz w:val="24"/>
              </w:rPr>
              <w:t>关爱服务</w:t>
            </w:r>
          </w:p>
        </w:tc>
      </w:tr>
    </w:tbl>
    <w:p>
      <w:pPr>
        <w:spacing w:line="400" w:lineRule="exact"/>
        <w:ind w:firstLine="0" w:firstLineChars="0"/>
        <w:jc w:val="left"/>
        <w:textAlignment w:val="bottom"/>
        <w:rPr>
          <w:kern w:val="0"/>
          <w:sz w:val="24"/>
        </w:rPr>
      </w:pPr>
      <w:r>
        <w:rPr>
          <w:kern w:val="0"/>
          <w:sz w:val="24"/>
        </w:rPr>
        <w:t>注：</w:t>
      </w:r>
      <w:r>
        <w:rPr>
          <w:color w:val="000000"/>
          <w:sz w:val="24"/>
        </w:rPr>
        <w:t>标</w:t>
      </w:r>
      <w:r>
        <w:rPr>
          <w:rFonts w:hint="eastAsia" w:ascii="Cambria Math" w:hAnsi="Cambria Math"/>
          <w:color w:val="000000"/>
          <w:sz w:val="24"/>
          <w:lang w:eastAsia="zh-CN"/>
        </w:rPr>
        <w:t>*</w:t>
      </w:r>
      <w:r>
        <w:rPr>
          <w:color w:val="000000"/>
          <w:sz w:val="24"/>
        </w:rPr>
        <w:t>的为台州市</w:t>
      </w:r>
      <w:r>
        <w:rPr>
          <w:rFonts w:hint="eastAsia"/>
          <w:color w:val="000000"/>
          <w:sz w:val="24"/>
          <w:lang w:eastAsia="zh-CN"/>
        </w:rPr>
        <w:t>在省级清单上</w:t>
      </w:r>
      <w:r>
        <w:rPr>
          <w:color w:val="000000"/>
          <w:sz w:val="24"/>
        </w:rPr>
        <w:t>增加</w:t>
      </w:r>
      <w:r>
        <w:rPr>
          <w:rFonts w:hint="eastAsia"/>
          <w:color w:val="000000"/>
          <w:sz w:val="24"/>
          <w:lang w:eastAsia="zh-CN"/>
        </w:rPr>
        <w:t>或补充</w:t>
      </w:r>
      <w:r>
        <w:rPr>
          <w:color w:val="000000"/>
          <w:sz w:val="24"/>
        </w:rPr>
        <w:t>的项目</w:t>
      </w:r>
    </w:p>
    <w:p>
      <w:pPr>
        <w:pStyle w:val="15"/>
        <w:ind w:firstLine="97" w:firstLineChars="47"/>
      </w:pPr>
    </w:p>
    <w:p>
      <w:pPr>
        <w:pStyle w:val="15"/>
        <w:spacing w:after="0" w:line="600" w:lineRule="exact"/>
        <w:ind w:firstLine="97" w:firstLineChars="47"/>
      </w:pPr>
      <w:r>
        <w:br w:type="page"/>
      </w:r>
    </w:p>
    <w:p>
      <w:pPr>
        <w:pStyle w:val="15"/>
        <w:spacing w:after="0" w:line="600" w:lineRule="exact"/>
        <w:ind w:firstLine="97" w:firstLineChars="47"/>
      </w:pPr>
    </w:p>
    <w:p>
      <w:pPr>
        <w:pStyle w:val="15"/>
        <w:spacing w:after="0" w:line="600" w:lineRule="exact"/>
        <w:ind w:firstLine="97" w:firstLineChars="47"/>
      </w:pPr>
    </w:p>
    <w:p>
      <w:pPr>
        <w:pStyle w:val="15"/>
        <w:spacing w:after="0" w:line="600" w:lineRule="exact"/>
        <w:ind w:firstLine="97" w:firstLineChars="47"/>
      </w:pPr>
    </w:p>
    <w:p>
      <w:pPr>
        <w:pStyle w:val="15"/>
        <w:spacing w:after="0" w:line="600" w:lineRule="exact"/>
        <w:ind w:firstLine="97" w:firstLineChars="47"/>
      </w:pPr>
    </w:p>
    <w:p>
      <w:pPr>
        <w:pStyle w:val="15"/>
        <w:spacing w:after="0" w:line="600" w:lineRule="exact"/>
        <w:ind w:firstLine="97" w:firstLineChars="47"/>
      </w:pPr>
    </w:p>
    <w:p>
      <w:pPr>
        <w:pStyle w:val="15"/>
        <w:spacing w:after="0" w:line="600" w:lineRule="exact"/>
        <w:ind w:firstLine="97" w:firstLineChars="47"/>
      </w:pPr>
    </w:p>
    <w:p>
      <w:pPr>
        <w:pStyle w:val="15"/>
        <w:spacing w:after="0" w:line="600" w:lineRule="exact"/>
        <w:ind w:firstLine="97" w:firstLineChars="47"/>
      </w:pPr>
    </w:p>
    <w:p>
      <w:pPr>
        <w:pStyle w:val="15"/>
        <w:spacing w:after="0" w:line="600" w:lineRule="exact"/>
        <w:ind w:firstLine="97" w:firstLineChars="47"/>
      </w:pPr>
    </w:p>
    <w:p>
      <w:pPr>
        <w:pStyle w:val="15"/>
        <w:spacing w:after="0" w:line="600" w:lineRule="exact"/>
        <w:ind w:firstLine="97" w:firstLineChars="47"/>
      </w:pPr>
    </w:p>
    <w:p>
      <w:pPr>
        <w:pStyle w:val="15"/>
        <w:spacing w:after="0" w:line="600" w:lineRule="exact"/>
        <w:ind w:firstLine="97" w:firstLineChars="47"/>
      </w:pPr>
    </w:p>
    <w:p>
      <w:pPr>
        <w:spacing w:line="600" w:lineRule="exact"/>
      </w:pPr>
    </w:p>
    <w:p>
      <w:pPr>
        <w:pStyle w:val="2"/>
        <w:spacing w:line="600" w:lineRule="exact"/>
      </w:pPr>
    </w:p>
    <w:p>
      <w:pPr>
        <w:spacing w:line="600" w:lineRule="exact"/>
      </w:pPr>
    </w:p>
    <w:p>
      <w:pPr>
        <w:pStyle w:val="2"/>
        <w:spacing w:line="600" w:lineRule="exact"/>
      </w:pPr>
    </w:p>
    <w:p/>
    <w:p>
      <w:pPr>
        <w:pStyle w:val="2"/>
      </w:pPr>
    </w:p>
    <w:p>
      <w:pPr>
        <w:spacing w:line="600" w:lineRule="exact"/>
      </w:pPr>
    </w:p>
    <w:p>
      <w:pPr>
        <w:pStyle w:val="2"/>
        <w:spacing w:line="600" w:lineRule="exact"/>
      </w:pPr>
    </w:p>
    <w:p>
      <w:pPr>
        <w:ind w:left="316" w:leftChars="100" w:right="316" w:rightChars="100"/>
        <w:jc w:val="left"/>
        <w:rPr>
          <w:sz w:val="28"/>
          <w:szCs w:val="28"/>
        </w:rPr>
      </w:pPr>
      <w:r>
        <w:pict>
          <v:line id="_x0000_s1029" o:spid="_x0000_s1029" o:spt="20" style="position:absolute;left:0pt;margin-left:0.8pt;margin-top:0.25pt;height:0pt;width:442.4pt;z-index:251659264;mso-width-relative:page;mso-height-relative:page;" filled="f" stroked="t" coordsize="21600,21600">
            <v:path arrowok="t"/>
            <v:fill on="f" focussize="0,0"/>
            <v:stroke weight="1pt" color="#000000"/>
            <v:imagedata o:title=""/>
            <o:lock v:ext="edit" aspectratio="f"/>
          </v:line>
        </w:pict>
      </w:r>
      <w:r>
        <w:rPr>
          <w:rFonts w:hint="eastAsia"/>
          <w:sz w:val="28"/>
          <w:szCs w:val="28"/>
        </w:rPr>
        <w:t>抄送：市委各部门，市人大常委会、市政协办公室，军分区，市监委，</w:t>
      </w:r>
    </w:p>
    <w:p>
      <w:pPr>
        <w:ind w:firstLine="1104" w:firstLineChars="400"/>
        <w:jc w:val="left"/>
        <w:rPr>
          <w:sz w:val="28"/>
          <w:szCs w:val="28"/>
        </w:rPr>
      </w:pPr>
      <w:r>
        <w:rPr>
          <w:rFonts w:hint="eastAsia"/>
          <w:sz w:val="28"/>
          <w:szCs w:val="28"/>
        </w:rPr>
        <w:t>市法院，市检察院。</w:t>
      </w:r>
    </w:p>
    <w:p>
      <w:pPr>
        <w:ind w:left="316" w:leftChars="100" w:right="316" w:rightChars="100"/>
        <w:jc w:val="left"/>
        <w:rPr>
          <w:spacing w:val="-4"/>
          <w:szCs w:val="32"/>
        </w:rPr>
      </w:pPr>
      <w:r>
        <w:drawing>
          <wp:anchor distT="0" distB="0" distL="114300" distR="114300" simplePos="0" relativeHeight="251660288" behindDoc="0" locked="0" layoutInCell="1" allowOverlap="1">
            <wp:simplePos x="0" y="0"/>
            <wp:positionH relativeFrom="column">
              <wp:posOffset>3767455</wp:posOffset>
            </wp:positionH>
            <wp:positionV relativeFrom="paragraph">
              <wp:posOffset>411480</wp:posOffset>
            </wp:positionV>
            <wp:extent cx="1790700" cy="647700"/>
            <wp:effectExtent l="0" t="0" r="0" b="0"/>
            <wp:wrapNone/>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7"/>
                    <a:stretch>
                      <a:fillRect/>
                    </a:stretch>
                  </pic:blipFill>
                  <pic:spPr>
                    <a:xfrm>
                      <a:off x="0" y="0"/>
                      <a:ext cx="1790700" cy="647700"/>
                    </a:xfrm>
                    <a:prstGeom prst="rect">
                      <a:avLst/>
                    </a:prstGeom>
                    <a:noFill/>
                    <a:ln>
                      <a:noFill/>
                    </a:ln>
                  </pic:spPr>
                </pic:pic>
              </a:graphicData>
            </a:graphic>
          </wp:anchor>
        </w:drawing>
      </w:r>
      <w:r>
        <w:pict>
          <v:line id="_x0000_s1030" o:spid="_x0000_s1030" o:spt="20" style="position:absolute;left:0pt;margin-left:-0.6pt;margin-top:28pt;height:0pt;width:442.4pt;z-index:251659264;mso-width-relative:page;mso-height-relative:page;" filled="f" stroked="t" coordsize="21600,21600">
            <v:path arrowok="t"/>
            <v:fill on="f" focussize="0,0"/>
            <v:stroke weight="1pt" color="#000000"/>
            <v:imagedata o:title=""/>
            <o:lock v:ext="edit" aspectratio="f"/>
          </v:line>
        </w:pict>
      </w:r>
      <w:r>
        <w:pict>
          <v:line id="直线 40 10 7" o:spid="_x0000_s1027" o:spt="20" style="position:absolute;left:0pt;margin-left:0pt;margin-top:0pt;height:0pt;width:442.4pt;z-index:251659264;mso-width-relative:page;mso-height-relative:page;" coordsize="21600,21600">
            <v:path arrowok="t"/>
            <v:fill focussize="0,0"/>
            <v:stroke/>
            <v:imagedata o:title=""/>
            <o:lock v:ext="edit"/>
          </v:line>
        </w:pict>
      </w:r>
      <w:r>
        <w:rPr>
          <w:rFonts w:hint="eastAsia"/>
          <w:sz w:val="28"/>
          <w:szCs w:val="28"/>
        </w:rPr>
        <w:t>台州市人民政府办公室</w:t>
      </w:r>
      <w:r>
        <w:rPr>
          <w:sz w:val="28"/>
          <w:szCs w:val="28"/>
        </w:rPr>
        <w:t xml:space="preserve">                </w:t>
      </w:r>
      <w:r>
        <w:rPr>
          <w:rFonts w:hint="eastAsia"/>
          <w:sz w:val="28"/>
          <w:szCs w:val="28"/>
          <w:lang w:val="en-US" w:eastAsia="zh-CN"/>
        </w:rPr>
        <w:t xml:space="preserve"> </w:t>
      </w:r>
      <w:r>
        <w:rPr>
          <w:sz w:val="28"/>
          <w:szCs w:val="28"/>
        </w:rPr>
        <w:t xml:space="preserve">   202</w:t>
      </w:r>
      <w:r>
        <w:rPr>
          <w:rFonts w:hint="eastAsia"/>
          <w:sz w:val="28"/>
          <w:szCs w:val="28"/>
        </w:rPr>
        <w:t>3年</w:t>
      </w:r>
      <w:r>
        <w:rPr>
          <w:rFonts w:hint="eastAsia"/>
          <w:sz w:val="28"/>
          <w:szCs w:val="28"/>
          <w:lang w:val="en-US" w:eastAsia="zh-CN"/>
        </w:rPr>
        <w:t>7</w:t>
      </w:r>
      <w:r>
        <w:rPr>
          <w:rFonts w:hint="eastAsia"/>
          <w:sz w:val="28"/>
          <w:szCs w:val="28"/>
        </w:rPr>
        <w:t>月</w:t>
      </w:r>
      <w:r>
        <w:rPr>
          <w:rFonts w:hint="eastAsia"/>
          <w:sz w:val="28"/>
          <w:szCs w:val="28"/>
          <w:lang w:val="en-US" w:eastAsia="zh-CN"/>
        </w:rPr>
        <w:t>28</w:t>
      </w:r>
      <w:r>
        <w:rPr>
          <w:rFonts w:hint="eastAsia"/>
          <w:sz w:val="28"/>
          <w:szCs w:val="28"/>
        </w:rPr>
        <w:t>日印发</w:t>
      </w:r>
    </w:p>
    <w:sectPr>
      <w:footerReference r:id="rId3" w:type="default"/>
      <w:footerReference r:id="rId4" w:type="even"/>
      <w:pgSz w:w="11907" w:h="16840"/>
      <w:pgMar w:top="1871" w:right="1474" w:bottom="1758" w:left="1588" w:header="851" w:footer="1134" w:gutter="0"/>
      <w:cols w:space="720" w:num="1"/>
      <w:docGrid w:type="linesAndChars" w:linePitch="60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Cambria Math">
    <w:altName w:val="DejaVu Math TeX Gyre"/>
    <w:panose1 w:val="02040503050406030204"/>
    <w:charset w:val="00"/>
    <w:family w:val="roman"/>
    <w:pitch w:val="default"/>
    <w:sig w:usb0="00000000" w:usb1="00000000" w:usb2="02000000" w:usb3="00000000" w:csb0="2000019F"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8"/>
      </w:rPr>
    </w:pPr>
    <w:r>
      <w:rPr>
        <w:rFonts w:hint="eastAsia" w:ascii="仿宋_GB2312"/>
        <w:kern w:val="0"/>
        <w:sz w:val="28"/>
      </w:rPr>
      <w:t xml:space="preserve">                                                  —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rFonts w:hint="eastAsia"/>
        <w:kern w:val="0"/>
        <w:sz w:val="28"/>
        <w:lang w:val="en-US" w:eastAsia="zh-CN"/>
      </w:rPr>
      <w:t xml:space="preserve"> </w:t>
    </w:r>
    <w:r>
      <w:rPr>
        <w:rFonts w:hint="eastAsia" w:ascii="仿宋_GB2312"/>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rPr>
        <w:sz w:val="28"/>
      </w:rPr>
    </w:pPr>
    <w:r>
      <w:rPr>
        <w:rFonts w:hint="eastAsia" w:ascii="仿宋_GB2312"/>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14</w:t>
    </w:r>
    <w:r>
      <w:rPr>
        <w:kern w:val="0"/>
        <w:sz w:val="28"/>
      </w:rPr>
      <w:fldChar w:fldCharType="end"/>
    </w:r>
    <w:r>
      <w:rPr>
        <w:rFonts w:hint="eastAsia"/>
        <w:kern w:val="0"/>
        <w:sz w:val="28"/>
        <w:lang w:val="en-US" w:eastAsia="zh-CN"/>
      </w:rPr>
      <w:t xml:space="preserve"> </w:t>
    </w:r>
    <w:r>
      <w:rPr>
        <w:rFonts w:hint="eastAsia" w:ascii="仿宋_GB2312"/>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false"/>
  <w:bordersDoNotSurroundFooter w:val="false"/>
  <w:revisionView w:markup="0"/>
  <w:documentProtection w:edit="readOnly" w:enforcement="0"/>
  <w:defaultTabStop w:val="420"/>
  <w:evenAndOddHeaders w:val="true"/>
  <w:drawingGridHorizontalSpacing w:val="158"/>
  <w:drawingGridVerticalSpacing w:val="299"/>
  <w:displayHorizontalDrawingGridEvery w:val="1"/>
  <w:displayVerticalDrawingGridEvery w:val="1"/>
  <w:noPunctuationKerning w:val="true"/>
  <w:characterSpacingControl w:val="compressPunctuation"/>
  <w:compat>
    <w:spaceForUL/>
    <w:balanceSingleByteDoubleByteWidth/>
    <w:ulTrailSpace/>
    <w:doNotExpandShiftReturn/>
    <w:adjustLineHeightInTable/>
    <w:doNotBreakWrappedTables/>
    <w:doNotWrapTextWithPunct/>
    <w:doNotUseEastAsianBreakRules/>
    <w:growAutofit/>
    <w:useFELayout/>
    <w:doNotUseIndentAsNumberingTabStop/>
    <w:useAltKinsokuLineBreakRules/>
    <w:splitPgBreakAndParaMark/>
    <w:compatSetting w:name="compatibilityMode" w:uri="http://schemas.microsoft.com/office/word" w:val="12"/>
  </w:compat>
  <w:docVars>
    <w:docVar w:name="commondata" w:val="eyJoZGlkIjoiYzU5NGU4MzlkYTZiZjczZGY0ZTMyZTljZGNhNDMxNTQifQ=="/>
    <w:docVar w:name="KGWebUrl" w:val="http://172.26.24.106/api/officeService/Servlet?x-auth-token=4180e491-d9cf-4e4e-adbf-547b19602de9"/>
  </w:docVars>
  <w:rsids>
    <w:rsidRoot w:val="006C0E89"/>
    <w:rsid w:val="00295496"/>
    <w:rsid w:val="003A06A6"/>
    <w:rsid w:val="00514693"/>
    <w:rsid w:val="006C0E89"/>
    <w:rsid w:val="008652BD"/>
    <w:rsid w:val="0BCA7AB3"/>
    <w:rsid w:val="36D7BD4D"/>
    <w:rsid w:val="5BEF8855"/>
    <w:rsid w:val="5FBEE9F8"/>
    <w:rsid w:val="66093A1F"/>
    <w:rsid w:val="6B9A0725"/>
    <w:rsid w:val="6E7EB65F"/>
    <w:rsid w:val="7526B4C2"/>
    <w:rsid w:val="79EF2401"/>
    <w:rsid w:val="7D41393E"/>
    <w:rsid w:val="7F5F22E2"/>
    <w:rsid w:val="BEF71F1F"/>
    <w:rsid w:val="EF27D3F9"/>
    <w:rsid w:val="FB2F1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outlineLvl w:val="0"/>
    </w:pPr>
    <w:rPr>
      <w:rFonts w:ascii="Calibri" w:hAnsi="Calibri" w:eastAsia="宋体"/>
      <w:sz w:val="28"/>
      <w:szCs w:val="28"/>
    </w:rPr>
  </w:style>
  <w:style w:type="paragraph" w:styleId="3">
    <w:name w:val="heading 2"/>
    <w:basedOn w:val="1"/>
    <w:next w:val="1"/>
    <w:qFormat/>
    <w:uiPriority w:val="0"/>
    <w:pPr>
      <w:keepNext/>
      <w:keepLines/>
      <w:spacing w:before="260" w:after="260" w:line="415" w:lineRule="auto"/>
      <w:outlineLvl w:val="1"/>
    </w:pPr>
    <w:rPr>
      <w:rFonts w:eastAsia="黑体"/>
      <w:b/>
      <w:bCs/>
      <w:szCs w:val="32"/>
    </w:rPr>
  </w:style>
  <w:style w:type="paragraph" w:styleId="4">
    <w:name w:val="heading 3"/>
    <w:basedOn w:val="1"/>
    <w:next w:val="1"/>
    <w:qFormat/>
    <w:uiPriority w:val="0"/>
    <w:pPr>
      <w:keepNext/>
      <w:keepLines/>
      <w:spacing w:before="260" w:after="260" w:line="415" w:lineRule="auto"/>
      <w:outlineLvl w:val="2"/>
    </w:pPr>
    <w:rPr>
      <w:rFonts w:eastAsia="宋体"/>
      <w:b/>
      <w:bCs/>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200" w:firstLineChars="200"/>
    </w:pPr>
    <w:rPr>
      <w:rFonts w:ascii="Calibri" w:hAnsi="Calibri" w:eastAsia="仿宋"/>
    </w:rPr>
  </w:style>
  <w:style w:type="paragraph" w:styleId="6">
    <w:name w:val="Date"/>
    <w:basedOn w:val="1"/>
    <w:next w:val="1"/>
    <w:qFormat/>
    <w:uiPriority w:val="0"/>
    <w:pPr>
      <w:ind w:left="2500" w:leftChars="2500"/>
    </w:pPr>
  </w:style>
  <w:style w:type="paragraph" w:styleId="7">
    <w:name w:val="Body Text"/>
    <w:basedOn w:val="1"/>
    <w:qFormat/>
    <w:uiPriority w:val="0"/>
    <w:pPr>
      <w:spacing w:line="0" w:lineRule="atLeast"/>
      <w:jc w:val="center"/>
    </w:pPr>
    <w:rPr>
      <w:rFonts w:eastAsia="方正小标宋简体"/>
      <w:sz w:val="44"/>
      <w:szCs w:val="20"/>
    </w:rPr>
  </w:style>
  <w:style w:type="paragraph" w:styleId="8">
    <w:name w:val="Body Text Indent"/>
    <w:basedOn w:val="1"/>
    <w:next w:val="9"/>
    <w:qFormat/>
    <w:uiPriority w:val="0"/>
    <w:pPr>
      <w:spacing w:after="120"/>
      <w:ind w:left="200" w:leftChars="200"/>
    </w:pPr>
    <w:rPr>
      <w:rFonts w:ascii="Calibri" w:hAnsi="Calibri" w:eastAsia="宋体"/>
      <w:sz w:val="21"/>
    </w:rPr>
  </w:style>
  <w:style w:type="paragraph" w:styleId="9">
    <w:name w:val="Body Text Indent 2"/>
    <w:basedOn w:val="1"/>
    <w:qFormat/>
    <w:uiPriority w:val="0"/>
    <w:pPr>
      <w:ind w:firstLine="200" w:firstLineChars="200"/>
    </w:pPr>
    <w:rPr>
      <w:rFonts w:ascii="仿宋_GB2312"/>
      <w:spacing w:val="-6"/>
    </w:r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qFormat/>
    <w:uiPriority w:val="0"/>
    <w:pPr>
      <w:spacing w:line="598" w:lineRule="exact"/>
      <w:ind w:firstLine="200" w:firstLineChars="200"/>
    </w:pPr>
    <w:rPr>
      <w:spacing w:val="-4"/>
    </w:rPr>
  </w:style>
  <w:style w:type="paragraph" w:styleId="14">
    <w:name w:val="Normal (Web)"/>
    <w:basedOn w:val="1"/>
    <w:qFormat/>
    <w:uiPriority w:val="0"/>
    <w:pPr>
      <w:widowControl/>
      <w:spacing w:before="100" w:beforeAutospacing="1" w:after="100" w:afterAutospacing="1"/>
      <w:jc w:val="left"/>
    </w:pPr>
    <w:rPr>
      <w:rFonts w:ascii="宋体" w:eastAsia="宋体"/>
      <w:color w:val="000000"/>
      <w:kern w:val="0"/>
      <w:sz w:val="24"/>
    </w:rPr>
  </w:style>
  <w:style w:type="paragraph" w:styleId="15">
    <w:name w:val="Body Text First Indent"/>
    <w:basedOn w:val="1"/>
    <w:next w:val="8"/>
    <w:qFormat/>
    <w:uiPriority w:val="0"/>
    <w:pPr>
      <w:spacing w:after="120"/>
      <w:ind w:firstLine="100" w:firstLineChars="100"/>
    </w:pPr>
    <w:rPr>
      <w:rFonts w:ascii="Calibri" w:hAnsi="Calibri" w:eastAsia="宋体"/>
      <w:sz w:val="21"/>
    </w:rPr>
  </w:style>
  <w:style w:type="character" w:styleId="18">
    <w:name w:val="Strong"/>
    <w:basedOn w:val="17"/>
    <w:qFormat/>
    <w:uiPriority w:val="0"/>
    <w:rPr>
      <w:b/>
      <w:bCs/>
    </w:rPr>
  </w:style>
  <w:style w:type="paragraph" w:customStyle="1" w:styleId="19">
    <w:name w:val="Char1"/>
    <w:basedOn w:val="1"/>
    <w:qFormat/>
    <w:uiPriority w:val="0"/>
    <w:rPr>
      <w:rFonts w:ascii="仿宋_GB2312"/>
      <w:b/>
      <w:szCs w:val="32"/>
    </w:rPr>
  </w:style>
  <w:style w:type="paragraph" w:customStyle="1" w:styleId="2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32"/>
    </w:rPr>
  </w:style>
  <w:style w:type="paragraph" w:customStyle="1" w:styleId="21">
    <w:name w:val="Char1 Char Char Char"/>
    <w:basedOn w:val="1"/>
    <w:qFormat/>
    <w:uiPriority w:val="0"/>
    <w:pPr>
      <w:snapToGrid w:val="0"/>
      <w:spacing w:line="300" w:lineRule="auto"/>
    </w:pPr>
    <w:rPr>
      <w:rFonts w:eastAsia="宋体"/>
      <w:sz w:val="21"/>
      <w:szCs w:val="20"/>
    </w:rPr>
  </w:style>
  <w:style w:type="paragraph" w:customStyle="1" w:styleId="22">
    <w:name w:val="Char"/>
    <w:basedOn w:val="1"/>
    <w:qFormat/>
    <w:uiPriority w:val="0"/>
    <w:pPr>
      <w:tabs>
        <w:tab w:val="left" w:pos="432"/>
      </w:tabs>
      <w:spacing w:beforeLines="50" w:afterLines="50"/>
      <w:ind w:left="432" w:hanging="432"/>
    </w:pPr>
    <w:rPr>
      <w:rFonts w:eastAsia="宋体"/>
      <w:sz w:val="21"/>
      <w:szCs w:val="20"/>
    </w:rPr>
  </w:style>
  <w:style w:type="paragraph" w:customStyle="1" w:styleId="23">
    <w:name w:val="Heading #2|1"/>
    <w:basedOn w:val="1"/>
    <w:qFormat/>
    <w:uiPriority w:val="0"/>
    <w:pPr>
      <w:spacing w:after="540" w:line="605" w:lineRule="exact"/>
      <w:jc w:val="center"/>
      <w:outlineLvl w:val="1"/>
    </w:pPr>
    <w:rPr>
      <w:rFonts w:ascii="宋体" w:eastAsia="宋体" w:cs="宋体"/>
      <w:kern w:val="0"/>
      <w:sz w:val="42"/>
      <w:szCs w:val="42"/>
      <w:lang w:val="zh-TW" w:eastAsia="zh-TW" w:bidi="zh-TW"/>
    </w:rPr>
  </w:style>
  <w:style w:type="paragraph" w:customStyle="1" w:styleId="24">
    <w:name w:val="Other|1"/>
    <w:basedOn w:val="1"/>
    <w:qFormat/>
    <w:uiPriority w:val="0"/>
    <w:pPr>
      <w:jc w:val="center"/>
    </w:pPr>
    <w:rPr>
      <w:rFonts w:ascii="宋体" w:eastAsia="宋体" w:cs="宋体"/>
      <w:kern w:val="0"/>
      <w:sz w:val="20"/>
      <w:szCs w:val="20"/>
      <w:lang w:val="zh-TW" w:eastAsia="zh-TW" w:bidi="zh-TW"/>
    </w:rPr>
  </w:style>
  <w:style w:type="paragraph" w:customStyle="1" w:styleId="25">
    <w:name w:val="Other|2"/>
    <w:basedOn w:val="1"/>
    <w:qFormat/>
    <w:uiPriority w:val="0"/>
    <w:pPr>
      <w:jc w:val="left"/>
    </w:pPr>
    <w:rPr>
      <w:rFonts w:ascii="宋体" w:eastAsia="宋体" w:cs="宋体"/>
      <w:kern w:val="0"/>
      <w:sz w:val="20"/>
      <w:szCs w:val="20"/>
      <w:lang w:val="zh-TW" w:eastAsia="zh-TW" w:bidi="zh-TW"/>
    </w:rPr>
  </w:style>
  <w:style w:type="paragraph" w:customStyle="1" w:styleId="26">
    <w:name w:val="Normal Indent1"/>
    <w:basedOn w:val="1"/>
    <w:qFormat/>
    <w:uiPriority w:val="0"/>
    <w:pPr>
      <w:widowControl/>
      <w:spacing w:line="360" w:lineRule="auto"/>
      <w:ind w:firstLine="200" w:firstLineChars="200"/>
      <w:jc w:val="left"/>
    </w:pPr>
    <w:rPr>
      <w:rFonts w:ascii="宋体" w:hAnsi="宋体" w:eastAsia="仿宋"/>
      <w:kern w:val="0"/>
      <w:sz w:val="28"/>
      <w:szCs w:val="36"/>
    </w:rPr>
  </w:style>
  <w:style w:type="character" w:customStyle="1" w:styleId="27">
    <w:name w:val="font1"/>
    <w:basedOn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14</Pages>
  <Words>1074</Words>
  <Characters>6122</Characters>
  <Lines>51</Lines>
  <Paragraphs>14</Paragraphs>
  <TotalTime>23</TotalTime>
  <ScaleCrop>false</ScaleCrop>
  <LinksUpToDate>false</LinksUpToDate>
  <CharactersWithSpaces>7182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2023-07-02T08:39:00Z</dcterms:created>
  <dc:creator>wwwfox</dc:creator>
  <cp:lastModifiedBy>admin</cp:lastModifiedBy>
  <cp:lastPrinted>2022-09-05T01:43:00Z</cp:lastPrinted>
  <dcterms:modified xsi:type="dcterms:W3CDTF">2023-07-28T16:29:31Z</dcterms:modified>
  <dc:title>台政办发〔2004〕  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2290097845264437ACFC00A43CC9DA32_13</vt:lpwstr>
  </property>
</Properties>
</file>