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Theme="majorEastAsia" w:hAnsiTheme="majorEastAsia" w:eastAsiaTheme="majorEastAsia" w:cstheme="majorEastAsia"/>
          <w:b/>
          <w:bCs/>
          <w:sz w:val="32"/>
          <w:szCs w:val="32"/>
        </w:rPr>
      </w:pPr>
      <w:bookmarkStart w:id="0" w:name="_Toc419206832"/>
      <w:bookmarkStart w:id="1" w:name="_Toc419206925"/>
    </w:p>
    <w:p>
      <w:pPr>
        <w:ind w:firstLine="0" w:firstLineChars="0"/>
        <w:jc w:val="center"/>
        <w:rPr>
          <w:rFonts w:asciiTheme="majorEastAsia" w:hAnsiTheme="majorEastAsia" w:eastAsiaTheme="majorEastAsia" w:cstheme="majorEastAsia"/>
          <w:b/>
          <w:bCs/>
          <w:sz w:val="32"/>
          <w:szCs w:val="32"/>
        </w:rPr>
      </w:pPr>
    </w:p>
    <w:p>
      <w:pPr>
        <w:ind w:firstLine="0" w:firstLineChars="0"/>
        <w:rPr>
          <w:rFonts w:hint="eastAsia" w:ascii="宋体" w:hAnsi="宋体" w:eastAsia="宋体" w:cs="宋体"/>
        </w:rPr>
      </w:pPr>
    </w:p>
    <w:p>
      <w:pPr>
        <w:spacing w:after="124" w:afterLines="40"/>
        <w:ind w:firstLine="0" w:firstLineChars="0"/>
        <w:jc w:val="center"/>
        <w:rPr>
          <w:rFonts w:hint="eastAsia" w:ascii="宋体" w:hAnsi="宋体" w:eastAsia="宋体" w:cs="宋体"/>
          <w:b/>
          <w:bCs w:val="0"/>
          <w:sz w:val="48"/>
          <w:szCs w:val="48"/>
        </w:rPr>
      </w:pPr>
      <w:r>
        <w:rPr>
          <w:rFonts w:hint="eastAsia" w:ascii="宋体" w:hAnsi="宋体" w:eastAsia="宋体" w:cs="宋体"/>
          <w:b/>
          <w:bCs w:val="0"/>
          <w:sz w:val="48"/>
          <w:szCs w:val="48"/>
        </w:rPr>
        <w:t>台州市域铁路S1线一期PPP项目</w:t>
      </w:r>
    </w:p>
    <w:p>
      <w:pPr>
        <w:spacing w:after="124" w:afterLines="40"/>
        <w:ind w:firstLine="0" w:firstLineChars="0"/>
        <w:jc w:val="center"/>
        <w:rPr>
          <w:rFonts w:hint="eastAsia" w:ascii="宋体" w:hAnsi="宋体" w:eastAsia="宋体" w:cs="宋体"/>
          <w:b/>
          <w:bCs w:val="0"/>
          <w:sz w:val="48"/>
          <w:szCs w:val="48"/>
        </w:rPr>
      </w:pPr>
      <w:r>
        <w:rPr>
          <w:rFonts w:hint="eastAsia" w:ascii="宋体" w:hAnsi="宋体" w:eastAsia="宋体" w:cs="宋体"/>
          <w:b/>
          <w:bCs w:val="0"/>
          <w:sz w:val="48"/>
          <w:szCs w:val="48"/>
        </w:rPr>
        <w:t>工程总承包项目部</w:t>
      </w:r>
    </w:p>
    <w:p>
      <w:pPr>
        <w:spacing w:after="124" w:afterLines="40"/>
        <w:ind w:firstLine="0" w:firstLineChars="0"/>
        <w:jc w:val="center"/>
        <w:rPr>
          <w:b/>
          <w:bCs/>
          <w:sz w:val="52"/>
          <w:szCs w:val="52"/>
        </w:rPr>
      </w:pPr>
    </w:p>
    <w:p>
      <w:pPr>
        <w:spacing w:after="124" w:afterLines="40"/>
        <w:ind w:firstLine="0" w:firstLineChars="0"/>
        <w:jc w:val="center"/>
        <w:rPr>
          <w:b/>
          <w:bCs/>
          <w:sz w:val="72"/>
          <w:szCs w:val="72"/>
        </w:rPr>
      </w:pPr>
      <w:r>
        <w:rPr>
          <w:rFonts w:hint="eastAsia"/>
          <w:b/>
          <w:bCs/>
          <w:sz w:val="72"/>
          <w:szCs w:val="72"/>
        </w:rPr>
        <w:t>安全管理制度汇编</w:t>
      </w:r>
    </w:p>
    <w:p>
      <w:pPr>
        <w:ind w:firstLine="0" w:firstLineChars="0"/>
        <w:rPr>
          <w:b/>
          <w:bCs/>
          <w:sz w:val="40"/>
          <w:szCs w:val="48"/>
        </w:rPr>
      </w:pPr>
    </w:p>
    <w:p>
      <w:pPr>
        <w:ind w:firstLine="0" w:firstLineChars="0"/>
        <w:rPr>
          <w:b/>
          <w:bCs/>
          <w:sz w:val="40"/>
          <w:szCs w:val="48"/>
        </w:rPr>
      </w:pPr>
      <w:r>
        <w:rPr>
          <w:rFonts w:hint="eastAsia" w:ascii="宋体" w:hAnsi="宋体"/>
          <w:bCs/>
          <w:sz w:val="32"/>
          <w:szCs w:val="32"/>
        </w:rPr>
        <w:drawing>
          <wp:inline distT="0" distB="0" distL="0" distR="0">
            <wp:extent cx="5760720" cy="1956435"/>
            <wp:effectExtent l="0" t="0" r="11430" b="0"/>
            <wp:docPr id="54" name="图片 54"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封面图标"/>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0720" cy="1956624"/>
                    </a:xfrm>
                    <a:prstGeom prst="rect">
                      <a:avLst/>
                    </a:prstGeom>
                    <a:noFill/>
                    <a:ln>
                      <a:noFill/>
                    </a:ln>
                  </pic:spPr>
                </pic:pic>
              </a:graphicData>
            </a:graphic>
          </wp:inline>
        </w:drawing>
      </w:r>
    </w:p>
    <w:tbl>
      <w:tblPr>
        <w:tblStyle w:val="23"/>
        <w:tblpPr w:leftFromText="180" w:rightFromText="180" w:vertAnchor="text" w:horzAnchor="page" w:tblpX="2010" w:tblpY="620"/>
        <w:tblOverlap w:val="never"/>
        <w:tblW w:w="831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5"/>
        <w:gridCol w:w="1385"/>
        <w:gridCol w:w="1385"/>
        <w:gridCol w:w="1385"/>
        <w:gridCol w:w="1385"/>
        <w:gridCol w:w="13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385" w:type="dxa"/>
            <w:vAlign w:val="center"/>
          </w:tcPr>
          <w:p>
            <w:pPr>
              <w:widowControl/>
              <w:spacing w:line="240" w:lineRule="auto"/>
              <w:ind w:firstLine="0" w:firstLineChars="0"/>
              <w:jc w:val="center"/>
              <w:rPr>
                <w:rFonts w:ascii="宋体" w:hAnsi="宋体" w:eastAsia="宋体" w:cs="宋体"/>
                <w:b/>
                <w:bCs/>
                <w:kern w:val="0"/>
                <w:szCs w:val="32"/>
              </w:rPr>
            </w:pPr>
            <w:r>
              <w:rPr>
                <w:rFonts w:ascii="宋体" w:hAnsi="宋体" w:eastAsia="宋体" w:cs="宋体"/>
                <w:b/>
                <w:bCs/>
                <w:kern w:val="0"/>
                <w:szCs w:val="32"/>
              </w:rPr>
              <w:br w:type="page"/>
            </w:r>
            <w:r>
              <w:rPr>
                <w:rFonts w:hint="eastAsia" w:ascii="宋体" w:hAnsi="宋体" w:eastAsia="宋体" w:cs="宋体"/>
                <w:b/>
                <w:bCs/>
                <w:kern w:val="0"/>
                <w:szCs w:val="32"/>
              </w:rPr>
              <w:t>版本</w:t>
            </w:r>
          </w:p>
        </w:tc>
        <w:tc>
          <w:tcPr>
            <w:tcW w:w="1385" w:type="dxa"/>
            <w:vAlign w:val="center"/>
          </w:tcPr>
          <w:p>
            <w:pPr>
              <w:widowControl/>
              <w:spacing w:line="240" w:lineRule="auto"/>
              <w:ind w:firstLine="0" w:firstLineChars="0"/>
              <w:jc w:val="center"/>
              <w:rPr>
                <w:rFonts w:hint="eastAsia" w:ascii="宋体" w:hAnsi="宋体" w:eastAsia="宋体" w:cs="宋体"/>
                <w:b/>
                <w:bCs/>
                <w:kern w:val="0"/>
                <w:szCs w:val="32"/>
                <w:lang w:eastAsia="zh-CN"/>
              </w:rPr>
            </w:pPr>
            <w:r>
              <w:rPr>
                <w:rFonts w:hint="eastAsia" w:ascii="宋体" w:hAnsi="宋体" w:eastAsia="宋体" w:cs="宋体"/>
                <w:b/>
                <w:bCs/>
                <w:kern w:val="0"/>
                <w:szCs w:val="32"/>
                <w:lang w:eastAsia="zh-CN"/>
              </w:rPr>
              <w:t>制度级别</w:t>
            </w:r>
          </w:p>
        </w:tc>
        <w:tc>
          <w:tcPr>
            <w:tcW w:w="1385"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rPr>
              <w:t>编制</w:t>
            </w:r>
          </w:p>
        </w:tc>
        <w:tc>
          <w:tcPr>
            <w:tcW w:w="1385"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rPr>
              <w:t>审核</w:t>
            </w:r>
          </w:p>
        </w:tc>
        <w:tc>
          <w:tcPr>
            <w:tcW w:w="1385"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rPr>
              <w:t>审批</w:t>
            </w:r>
          </w:p>
        </w:tc>
        <w:tc>
          <w:tcPr>
            <w:tcW w:w="1385" w:type="dxa"/>
            <w:vAlign w:val="center"/>
          </w:tcPr>
          <w:p>
            <w:pPr>
              <w:widowControl/>
              <w:spacing w:line="240" w:lineRule="auto"/>
              <w:ind w:firstLine="0" w:firstLineChars="0"/>
              <w:jc w:val="center"/>
              <w:rPr>
                <w:rFonts w:ascii="宋体" w:hAnsi="宋体" w:eastAsia="宋体" w:cs="宋体"/>
                <w:b/>
                <w:bCs/>
                <w:kern w:val="0"/>
                <w:szCs w:val="32"/>
              </w:rPr>
            </w:pPr>
            <w:r>
              <w:rPr>
                <w:rFonts w:hint="eastAsia" w:ascii="宋体" w:hAnsi="宋体" w:eastAsia="宋体" w:cs="宋体"/>
                <w:b/>
                <w:bCs/>
                <w:kern w:val="0"/>
                <w:szCs w:val="32"/>
              </w:rPr>
              <w:t>发布日期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385" w:type="dxa"/>
            <w:vAlign w:val="center"/>
          </w:tcPr>
          <w:p>
            <w:pPr>
              <w:widowControl/>
              <w:spacing w:line="240" w:lineRule="auto"/>
              <w:ind w:firstLine="0" w:firstLineChars="0"/>
              <w:jc w:val="center"/>
              <w:rPr>
                <w:rFonts w:ascii="Times New Roman" w:hAnsi="Times New Roman" w:eastAsia="宋体" w:cs="Times New Roman"/>
                <w:b/>
                <w:bCs/>
                <w:kern w:val="0"/>
                <w:szCs w:val="32"/>
              </w:rPr>
            </w:pPr>
            <w:r>
              <w:rPr>
                <w:rFonts w:hint="eastAsia" w:ascii="Times New Roman" w:hAnsi="Times New Roman" w:eastAsia="宋体" w:cs="Times New Roman"/>
                <w:b/>
                <w:bCs/>
                <w:kern w:val="0"/>
                <w:szCs w:val="32"/>
              </w:rPr>
              <w:t>V</w:t>
            </w:r>
            <w:r>
              <w:rPr>
                <w:rFonts w:hint="eastAsia" w:ascii="Times New Roman" w:hAnsi="Times New Roman" w:eastAsia="宋体" w:cs="Times New Roman"/>
                <w:b/>
                <w:bCs/>
                <w:kern w:val="0"/>
                <w:szCs w:val="32"/>
                <w:lang w:val="en-US" w:eastAsia="zh-CN"/>
              </w:rPr>
              <w:t>1</w:t>
            </w:r>
            <w:r>
              <w:rPr>
                <w:rFonts w:hint="eastAsia" w:ascii="Times New Roman" w:hAnsi="Times New Roman" w:eastAsia="宋体" w:cs="Times New Roman"/>
                <w:b/>
                <w:bCs/>
                <w:kern w:val="0"/>
                <w:szCs w:val="32"/>
              </w:rPr>
              <w:t>.0</w:t>
            </w:r>
          </w:p>
        </w:tc>
        <w:tc>
          <w:tcPr>
            <w:tcW w:w="1385" w:type="dxa"/>
            <w:vAlign w:val="center"/>
          </w:tcPr>
          <w:p>
            <w:pPr>
              <w:widowControl/>
              <w:spacing w:line="240" w:lineRule="auto"/>
              <w:ind w:firstLine="0" w:firstLineChars="0"/>
              <w:jc w:val="center"/>
              <w:rPr>
                <w:rFonts w:hint="eastAsia" w:ascii="宋体" w:hAnsi="宋体" w:eastAsia="宋体" w:cs="宋体"/>
                <w:b/>
                <w:bCs/>
                <w:kern w:val="0"/>
                <w:szCs w:val="32"/>
                <w:lang w:eastAsia="zh-CN"/>
              </w:rPr>
            </w:pPr>
            <w:r>
              <w:rPr>
                <w:rFonts w:hint="eastAsia" w:ascii="宋体" w:hAnsi="宋体" w:eastAsia="宋体" w:cs="宋体"/>
                <w:b/>
                <w:bCs/>
                <w:kern w:val="0"/>
                <w:szCs w:val="32"/>
                <w:lang w:eastAsia="zh-CN"/>
              </w:rPr>
              <w:t>项目二级</w:t>
            </w:r>
          </w:p>
        </w:tc>
        <w:tc>
          <w:tcPr>
            <w:tcW w:w="1385" w:type="dxa"/>
            <w:vAlign w:val="center"/>
          </w:tcPr>
          <w:p>
            <w:pPr>
              <w:widowControl/>
              <w:spacing w:line="240" w:lineRule="auto"/>
              <w:ind w:firstLine="0" w:firstLineChars="0"/>
              <w:jc w:val="center"/>
              <w:rPr>
                <w:rFonts w:hint="eastAsia" w:ascii="宋体" w:hAnsi="宋体" w:eastAsia="宋体" w:cs="宋体"/>
                <w:b/>
                <w:bCs/>
                <w:kern w:val="0"/>
                <w:szCs w:val="32"/>
                <w:lang w:eastAsia="zh-CN"/>
              </w:rPr>
            </w:pPr>
            <w:r>
              <w:rPr>
                <w:rFonts w:hint="eastAsia" w:ascii="宋体" w:hAnsi="宋体" w:eastAsia="宋体" w:cs="宋体"/>
                <w:b/>
                <w:bCs/>
                <w:kern w:val="0"/>
                <w:szCs w:val="32"/>
                <w:lang w:eastAsia="zh-CN"/>
              </w:rPr>
              <w:t>袁建华</w:t>
            </w:r>
          </w:p>
        </w:tc>
        <w:tc>
          <w:tcPr>
            <w:tcW w:w="1385" w:type="dxa"/>
            <w:vAlign w:val="center"/>
          </w:tcPr>
          <w:p>
            <w:pPr>
              <w:widowControl/>
              <w:spacing w:line="240" w:lineRule="auto"/>
              <w:ind w:firstLine="0" w:firstLineChars="0"/>
              <w:jc w:val="center"/>
              <w:rPr>
                <w:rFonts w:hint="eastAsia" w:ascii="宋体" w:hAnsi="宋体" w:eastAsia="宋体" w:cs="宋体"/>
                <w:b/>
                <w:bCs/>
                <w:kern w:val="0"/>
                <w:szCs w:val="32"/>
                <w:lang w:eastAsia="zh-CN"/>
              </w:rPr>
            </w:pPr>
            <w:r>
              <w:rPr>
                <w:rFonts w:hint="eastAsia" w:ascii="宋体" w:hAnsi="宋体" w:eastAsia="宋体" w:cs="宋体"/>
                <w:b/>
                <w:bCs/>
                <w:kern w:val="0"/>
                <w:szCs w:val="32"/>
                <w:lang w:eastAsia="zh-CN"/>
              </w:rPr>
              <w:t>汪安祥</w:t>
            </w:r>
          </w:p>
        </w:tc>
        <w:tc>
          <w:tcPr>
            <w:tcW w:w="1385" w:type="dxa"/>
            <w:vAlign w:val="center"/>
          </w:tcPr>
          <w:p>
            <w:pPr>
              <w:widowControl/>
              <w:spacing w:line="240" w:lineRule="auto"/>
              <w:ind w:firstLine="0" w:firstLineChars="0"/>
              <w:jc w:val="center"/>
              <w:rPr>
                <w:rFonts w:hint="eastAsia" w:ascii="宋体" w:hAnsi="宋体" w:eastAsia="宋体" w:cs="宋体"/>
                <w:b/>
                <w:bCs/>
                <w:kern w:val="0"/>
                <w:szCs w:val="32"/>
                <w:lang w:eastAsia="zh-CN"/>
              </w:rPr>
            </w:pPr>
            <w:r>
              <w:rPr>
                <w:rFonts w:hint="eastAsia" w:ascii="宋体" w:hAnsi="宋体" w:eastAsia="宋体" w:cs="宋体"/>
                <w:b/>
                <w:bCs/>
                <w:kern w:val="0"/>
                <w:szCs w:val="32"/>
                <w:lang w:eastAsia="zh-CN"/>
              </w:rPr>
              <w:t>朱春柏</w:t>
            </w:r>
          </w:p>
        </w:tc>
        <w:tc>
          <w:tcPr>
            <w:tcW w:w="1385" w:type="dxa"/>
            <w:vAlign w:val="center"/>
          </w:tcPr>
          <w:p>
            <w:pPr>
              <w:widowControl/>
              <w:spacing w:line="240" w:lineRule="auto"/>
              <w:ind w:firstLine="0" w:firstLineChars="0"/>
              <w:jc w:val="center"/>
              <w:rPr>
                <w:rFonts w:hint="eastAsia" w:ascii="宋体" w:hAnsi="宋体" w:cs="宋体" w:eastAsiaTheme="minorEastAsia"/>
                <w:b/>
                <w:bCs/>
                <w:kern w:val="0"/>
                <w:szCs w:val="32"/>
                <w:lang w:val="en-US" w:eastAsia="zh-CN"/>
              </w:rPr>
            </w:pPr>
            <w:r>
              <w:rPr>
                <w:rFonts w:hint="eastAsia" w:ascii="Times New Roman" w:hAnsi="Times New Roman" w:eastAsia="宋体" w:cs="Times New Roman"/>
                <w:b/>
                <w:bCs/>
                <w:kern w:val="0"/>
                <w:szCs w:val="32"/>
                <w:lang w:val="en-US" w:eastAsia="zh-CN"/>
              </w:rPr>
              <w:t>2018.10.5</w:t>
            </w:r>
          </w:p>
        </w:tc>
      </w:tr>
    </w:tbl>
    <w:p>
      <w:pPr>
        <w:ind w:firstLine="0" w:firstLineChars="0"/>
        <w:jc w:val="center"/>
        <w:rPr>
          <w:rFonts w:asciiTheme="majorEastAsia" w:hAnsiTheme="majorEastAsia" w:eastAsiaTheme="majorEastAsia" w:cstheme="majorEastAsia"/>
          <w:bCs/>
          <w:sz w:val="32"/>
          <w:szCs w:val="32"/>
        </w:rPr>
      </w:pPr>
    </w:p>
    <w:p>
      <w:pPr>
        <w:ind w:firstLine="0" w:firstLineChars="0"/>
        <w:jc w:val="center"/>
        <w:rPr>
          <w:rFonts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苏州中车建设工程有限公司</w:t>
      </w:r>
    </w:p>
    <w:p>
      <w:pPr>
        <w:ind w:firstLine="0" w:firstLineChars="0"/>
        <w:jc w:val="center"/>
        <w:rPr>
          <w:rFonts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台州市域铁路S1线一期PPP项目工程总承包项目部</w:t>
      </w:r>
    </w:p>
    <w:p>
      <w:pPr>
        <w:ind w:left="0" w:leftChars="0" w:firstLine="0" w:firstLineChars="0"/>
        <w:jc w:val="cente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Theme="majorEastAsia" w:hAnsiTheme="majorEastAsia" w:eastAsiaTheme="majorEastAsia" w:cstheme="majorEastAsia"/>
          <w:bCs/>
          <w:sz w:val="32"/>
          <w:szCs w:val="32"/>
        </w:rPr>
        <w:t>二〇一八年十月五日</w:t>
      </w:r>
    </w:p>
    <w:sdt>
      <w:sdtPr>
        <w:rPr>
          <w:rFonts w:hint="eastAsia" w:ascii="黑体" w:hAnsi="黑体" w:eastAsia="黑体" w:cs="黑体"/>
        </w:rPr>
        <w:id w:val="147450981"/>
      </w:sdtPr>
      <w:sdtEndPr>
        <w:rPr>
          <w:rFonts w:hint="default" w:ascii="Times New Roman" w:hAnsi="Times New Roman" w:eastAsia="黑体" w:cs="Times New Roman"/>
        </w:rPr>
      </w:sdtEndPr>
      <w:sdtContent>
        <w:p>
          <w:pPr>
            <w:pStyle w:val="16"/>
            <w:tabs>
              <w:tab w:val="right" w:leader="dot" w:pos="8306"/>
            </w:tabs>
            <w:jc w:val="center"/>
            <w:rPr>
              <w:rFonts w:ascii="Times New Roman" w:hAnsi="Times New Roman"/>
            </w:rPr>
          </w:pPr>
          <w:r>
            <w:rPr>
              <w:rFonts w:hint="eastAsia" w:ascii="黑体" w:hAnsi="黑体" w:eastAsia="黑体" w:cs="黑体"/>
              <w:sz w:val="28"/>
              <w:szCs w:val="21"/>
            </w:rPr>
            <w:t>目 录</w:t>
          </w:r>
          <w:r>
            <w:rPr>
              <w:rFonts w:ascii="Times New Roman" w:hAnsi="Times New Roman"/>
            </w:rPr>
            <w:fldChar w:fldCharType="begin"/>
          </w:r>
          <w:r>
            <w:rPr>
              <w:rFonts w:ascii="Times New Roman" w:hAnsi="Times New Roman"/>
            </w:rPr>
            <w:instrText xml:space="preserve">TOC \o "1-1" \h \u </w:instrText>
          </w:r>
          <w:r>
            <w:rPr>
              <w:rFonts w:ascii="Times New Roman" w:hAnsi="Times New Roman"/>
            </w:rPr>
            <w:fldChar w:fldCharType="separate"/>
          </w:r>
        </w:p>
        <w:p>
          <w:pPr>
            <w:pStyle w:val="16"/>
            <w:tabs>
              <w:tab w:val="right" w:leader="dot" w:pos="8306"/>
            </w:tabs>
            <w:rPr>
              <w:rFonts w:ascii="Times New Roman" w:hAnsi="Times New Roman"/>
            </w:rPr>
          </w:pPr>
          <w:r>
            <w:fldChar w:fldCharType="begin"/>
          </w:r>
          <w:r>
            <w:instrText xml:space="preserve"> HYPERLINK \l "_Toc10242" </w:instrText>
          </w:r>
          <w:r>
            <w:fldChar w:fldCharType="separate"/>
          </w:r>
          <w:r>
            <w:rPr>
              <w:rFonts w:ascii="Times New Roman" w:hAnsi="Times New Roman"/>
            </w:rPr>
            <w:t>一、安全生产责任制度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_Toc10242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"_Toc20259" </w:instrText>
          </w:r>
          <w:r>
            <w:fldChar w:fldCharType="separate"/>
          </w:r>
          <w:r>
            <w:rPr>
              <w:rFonts w:ascii="Times New Roman" w:hAnsi="Times New Roman"/>
            </w:rPr>
            <w:t>二、安全文明施工费管理办法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_Toc20259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"_Toc12294" </w:instrText>
          </w:r>
          <w:r>
            <w:fldChar w:fldCharType="separate"/>
          </w:r>
          <w:r>
            <w:rPr>
              <w:rFonts w:ascii="Times New Roman" w:hAnsi="Times New Roman"/>
            </w:rPr>
            <w:t>三、安全生产教育培训制度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_Toc12294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"_Toc9527" </w:instrText>
          </w:r>
          <w:r>
            <w:fldChar w:fldCharType="separate"/>
          </w:r>
          <w:r>
            <w:rPr>
              <w:rFonts w:ascii="Times New Roman" w:hAnsi="Times New Roman"/>
            </w:rPr>
            <w:t>四、安全生产例会制度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_Toc9527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"_Toc28163" </w:instrText>
          </w:r>
          <w:r>
            <w:fldChar w:fldCharType="separate"/>
          </w:r>
          <w:r>
            <w:rPr>
              <w:rFonts w:ascii="Times New Roman" w:hAnsi="Times New Roman"/>
            </w:rPr>
            <w:t>五、安全生产检查和隐患排查治理制度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_Toc28163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"_Toc2742" </w:instrText>
          </w:r>
          <w:r>
            <w:fldChar w:fldCharType="separate"/>
          </w:r>
          <w:r>
            <w:rPr>
              <w:rFonts w:ascii="Times New Roman" w:hAnsi="Times New Roman"/>
            </w:rPr>
            <w:t>六、安全技术交底制度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_Toc2742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"_Toc16076" </w:instrText>
          </w:r>
          <w:r>
            <w:fldChar w:fldCharType="separate"/>
          </w:r>
          <w:r>
            <w:rPr>
              <w:rFonts w:ascii="Times New Roman" w:hAnsi="Times New Roman"/>
            </w:rPr>
            <w:t>七、生产安全事故报告处理制度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_Toc16076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"_Toc30120" </w:instrText>
          </w:r>
          <w:r>
            <w:fldChar w:fldCharType="separate"/>
          </w:r>
          <w:r>
            <w:rPr>
              <w:rFonts w:ascii="Times New Roman" w:hAnsi="Times New Roman"/>
            </w:rPr>
            <w:t>八、消防安全管理制度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_Toc30120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"_Toc17065" </w:instrText>
          </w:r>
          <w:r>
            <w:fldChar w:fldCharType="separate"/>
          </w:r>
          <w:r>
            <w:rPr>
              <w:rFonts w:ascii="Times New Roman" w:hAnsi="Times New Roman"/>
            </w:rPr>
            <w:t>九、易燃易爆物品安全管理制度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_Toc17065 </w:instrText>
          </w:r>
          <w:r>
            <w:rPr>
              <w:rFonts w:ascii="Times New Roman" w:hAnsi="Times New Roman"/>
            </w:rPr>
            <w:fldChar w:fldCharType="separate"/>
          </w:r>
          <w:r>
            <w:rPr>
              <w:rFonts w:ascii="Times New Roman" w:hAnsi="Times New Roman"/>
            </w:rPr>
            <w:t>55</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"_Toc1557" </w:instrText>
          </w:r>
          <w:r>
            <w:fldChar w:fldCharType="separate"/>
          </w:r>
          <w:r>
            <w:rPr>
              <w:rFonts w:ascii="Times New Roman" w:hAnsi="Times New Roman"/>
            </w:rPr>
            <w:t>十、临时用电管理制度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_Toc1557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"_Toc32504" </w:instrText>
          </w:r>
          <w:r>
            <w:fldChar w:fldCharType="separate"/>
          </w:r>
          <w:r>
            <w:rPr>
              <w:rFonts w:ascii="Times New Roman" w:hAnsi="Times New Roman"/>
            </w:rPr>
            <w:t>十一、劳动防护用品管理制度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_Toc32504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"_Toc17292" </w:instrText>
          </w:r>
          <w:r>
            <w:fldChar w:fldCharType="separate"/>
          </w:r>
          <w:r>
            <w:rPr>
              <w:rFonts w:ascii="Times New Roman" w:hAnsi="Times New Roman"/>
            </w:rPr>
            <w:t>十二、危险源识别评价和分级管理制度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_Toc17292 </w:instrText>
          </w:r>
          <w:r>
            <w:rPr>
              <w:rFonts w:ascii="Times New Roman" w:hAnsi="Times New Roman"/>
            </w:rPr>
            <w:fldChar w:fldCharType="separate"/>
          </w:r>
          <w:r>
            <w:rPr>
              <w:rFonts w:ascii="Times New Roman" w:hAnsi="Times New Roman"/>
            </w:rPr>
            <w:t>64</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"_Toc15881" </w:instrText>
          </w:r>
          <w:r>
            <w:fldChar w:fldCharType="separate"/>
          </w:r>
          <w:r>
            <w:rPr>
              <w:rFonts w:ascii="Times New Roman" w:hAnsi="Times New Roman"/>
            </w:rPr>
            <w:t>十三、动火审批制度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_Toc15881 </w:instrText>
          </w:r>
          <w:r>
            <w:rPr>
              <w:rFonts w:ascii="Times New Roman" w:hAnsi="Times New Roman"/>
            </w:rPr>
            <w:fldChar w:fldCharType="separate"/>
          </w:r>
          <w:r>
            <w:rPr>
              <w:rFonts w:ascii="Times New Roman" w:hAnsi="Times New Roman"/>
            </w:rPr>
            <w:t>71</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"_Toc13333" </w:instrText>
          </w:r>
          <w:r>
            <w:fldChar w:fldCharType="separate"/>
          </w:r>
          <w:r>
            <w:rPr>
              <w:rFonts w:ascii="Times New Roman" w:hAnsi="Times New Roman"/>
            </w:rPr>
            <w:t>十四、治安保卫制度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_Toc13333 </w:instrText>
          </w:r>
          <w:r>
            <w:rPr>
              <w:rFonts w:ascii="Times New Roman" w:hAnsi="Times New Roman"/>
            </w:rPr>
            <w:fldChar w:fldCharType="separate"/>
          </w:r>
          <w:r>
            <w:rPr>
              <w:rFonts w:ascii="Times New Roman" w:hAnsi="Times New Roman"/>
            </w:rPr>
            <w:t>72</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"_Toc9945" </w:instrText>
          </w:r>
          <w:r>
            <w:fldChar w:fldCharType="separate"/>
          </w:r>
          <w:r>
            <w:rPr>
              <w:rFonts w:ascii="Times New Roman" w:hAnsi="Times New Roman"/>
            </w:rPr>
            <w:t>十五、安全标识牌管理制度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_Toc9945 </w:instrText>
          </w:r>
          <w:r>
            <w:rPr>
              <w:rFonts w:ascii="Times New Roman" w:hAnsi="Times New Roman"/>
            </w:rPr>
            <w:fldChar w:fldCharType="separate"/>
          </w:r>
          <w:r>
            <w:rPr>
              <w:rFonts w:ascii="Times New Roman" w:hAnsi="Times New Roman"/>
            </w:rPr>
            <w:t>74</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"_Toc32643" </w:instrText>
          </w:r>
          <w:r>
            <w:fldChar w:fldCharType="separate"/>
          </w:r>
          <w:r>
            <w:rPr>
              <w:rFonts w:ascii="Times New Roman" w:hAnsi="Times New Roman"/>
            </w:rPr>
            <w:t>十六、安全生产文件资料管理制度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_Toc32643 </w:instrText>
          </w:r>
          <w:r>
            <w:rPr>
              <w:rFonts w:ascii="Times New Roman" w:hAnsi="Times New Roman"/>
            </w:rPr>
            <w:fldChar w:fldCharType="separate"/>
          </w:r>
          <w:r>
            <w:rPr>
              <w:rFonts w:ascii="Times New Roman" w:hAnsi="Times New Roman"/>
            </w:rPr>
            <w:t>75</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"_Toc5007" </w:instrText>
          </w:r>
          <w:r>
            <w:fldChar w:fldCharType="separate"/>
          </w:r>
          <w:r>
            <w:rPr>
              <w:rFonts w:ascii="Times New Roman" w:hAnsi="Times New Roman"/>
            </w:rPr>
            <w:t>十七、安全专项施工方案管理制度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_Toc5007 </w:instrText>
          </w:r>
          <w:r>
            <w:rPr>
              <w:rFonts w:ascii="Times New Roman" w:hAnsi="Times New Roman"/>
            </w:rPr>
            <w:fldChar w:fldCharType="separate"/>
          </w:r>
          <w:r>
            <w:rPr>
              <w:rFonts w:ascii="Times New Roman" w:hAnsi="Times New Roman"/>
            </w:rPr>
            <w:t>79</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"_Toc10880" </w:instrText>
          </w:r>
          <w:r>
            <w:fldChar w:fldCharType="separate"/>
          </w:r>
          <w:r>
            <w:rPr>
              <w:rFonts w:ascii="Times New Roman" w:hAnsi="Times New Roman"/>
              <w:szCs w:val="32"/>
            </w:rPr>
            <w:t>十八、</w:t>
          </w:r>
          <w:r>
            <w:rPr>
              <w:rFonts w:ascii="Times New Roman" w:hAnsi="Times New Roman"/>
            </w:rPr>
            <w:t>班前安全讲话活动管理制度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_Toc10880 </w:instrText>
          </w:r>
          <w:r>
            <w:rPr>
              <w:rFonts w:ascii="Times New Roman" w:hAnsi="Times New Roman"/>
            </w:rPr>
            <w:fldChar w:fldCharType="separate"/>
          </w:r>
          <w:r>
            <w:rPr>
              <w:rFonts w:ascii="Times New Roman" w:hAnsi="Times New Roman"/>
            </w:rPr>
            <w:t>93</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"_Toc9444" </w:instrText>
          </w:r>
          <w:r>
            <w:fldChar w:fldCharType="separate"/>
          </w:r>
          <w:r>
            <w:rPr>
              <w:rFonts w:ascii="Times New Roman" w:hAnsi="Times New Roman"/>
              <w:szCs w:val="32"/>
            </w:rPr>
            <w:t>十九、环境与卫生管理制度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_Toc9444 </w:instrText>
          </w:r>
          <w:r>
            <w:rPr>
              <w:rFonts w:ascii="Times New Roman" w:hAnsi="Times New Roman"/>
            </w:rPr>
            <w:fldChar w:fldCharType="separate"/>
          </w:r>
          <w:r>
            <w:rPr>
              <w:rFonts w:ascii="Times New Roman" w:hAnsi="Times New Roman"/>
            </w:rPr>
            <w:t>97</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"_Toc3782" </w:instrText>
          </w:r>
          <w:r>
            <w:fldChar w:fldCharType="separate"/>
          </w:r>
          <w:r>
            <w:rPr>
              <w:rFonts w:ascii="Times New Roman" w:hAnsi="Times New Roman"/>
              <w:szCs w:val="32"/>
            </w:rPr>
            <w:t>二十、建筑施工特种作业人员管理制度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_Toc3782 </w:instrText>
          </w:r>
          <w:r>
            <w:rPr>
              <w:rFonts w:ascii="Times New Roman" w:hAnsi="Times New Roman"/>
            </w:rPr>
            <w:fldChar w:fldCharType="separate"/>
          </w:r>
          <w:r>
            <w:rPr>
              <w:rFonts w:ascii="Times New Roman" w:hAnsi="Times New Roman"/>
            </w:rPr>
            <w:t>103</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"_Toc16869" </w:instrText>
          </w:r>
          <w:r>
            <w:fldChar w:fldCharType="separate"/>
          </w:r>
          <w:r>
            <w:rPr>
              <w:rFonts w:ascii="Times New Roman" w:hAnsi="Times New Roman"/>
              <w:szCs w:val="32"/>
            </w:rPr>
            <w:t>二十一、特种设备安全管理制度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_Toc16869 </w:instrText>
          </w:r>
          <w:r>
            <w:rPr>
              <w:rFonts w:ascii="Times New Roman" w:hAnsi="Times New Roman"/>
            </w:rPr>
            <w:fldChar w:fldCharType="separate"/>
          </w:r>
          <w:r>
            <w:rPr>
              <w:rFonts w:ascii="Times New Roman" w:hAnsi="Times New Roman"/>
            </w:rPr>
            <w:t>109</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fldChar w:fldCharType="begin"/>
          </w:r>
          <w:r>
            <w:instrText xml:space="preserve"> HYPERLINK \l "_Toc8807" </w:instrText>
          </w:r>
          <w:r>
            <w:fldChar w:fldCharType="separate"/>
          </w:r>
          <w:r>
            <w:rPr>
              <w:rFonts w:ascii="Times New Roman" w:hAnsi="Times New Roman"/>
            </w:rPr>
            <w:t>二十二、安全质量文明施工违约处罚实施细则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_Toc8807 </w:instrText>
          </w:r>
          <w:r>
            <w:rPr>
              <w:rFonts w:ascii="Times New Roman" w:hAnsi="Times New Roman"/>
            </w:rPr>
            <w:fldChar w:fldCharType="separate"/>
          </w:r>
          <w:r>
            <w:rPr>
              <w:rFonts w:ascii="Times New Roman" w:hAnsi="Times New Roman"/>
            </w:rPr>
            <w:t>117</w:t>
          </w:r>
          <w:r>
            <w:rPr>
              <w:rFonts w:ascii="Times New Roman" w:hAnsi="Times New Roman"/>
            </w:rPr>
            <w:fldChar w:fldCharType="end"/>
          </w:r>
          <w:r>
            <w:rPr>
              <w:rFonts w:ascii="Times New Roman" w:hAnsi="Times New Roman"/>
            </w:rPr>
            <w:fldChar w:fldCharType="end"/>
          </w:r>
        </w:p>
        <w:p>
          <w:pPr>
            <w:pStyle w:val="16"/>
            <w:tabs>
              <w:tab w:val="right" w:leader="dot" w:pos="8306"/>
            </w:tabs>
            <w:rPr>
              <w:rFonts w:ascii="Times New Roman" w:hAnsi="Times New Roman"/>
            </w:rPr>
          </w:pPr>
          <w:r>
            <w:rPr>
              <w:rFonts w:ascii="Times New Roman" w:hAnsi="Times New Roman"/>
            </w:rPr>
            <w:fldChar w:fldCharType="end"/>
          </w:r>
        </w:p>
      </w:sdtContent>
    </w:sdt>
    <w:bookmarkEnd w:id="0"/>
    <w:bookmarkEnd w:id="1"/>
    <w:p>
      <w:pPr>
        <w:pStyle w:val="2"/>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pPr>
      <w:bookmarkStart w:id="2" w:name="_Toc10242"/>
      <w:bookmarkStart w:id="3" w:name="_Toc517516692"/>
      <w:bookmarkStart w:id="4" w:name="_Toc25666"/>
      <w:bookmarkStart w:id="5" w:name="_Toc517516693"/>
    </w:p>
    <w:p>
      <w:pPr>
        <w:pStyle w:val="2"/>
      </w:pPr>
      <w:r>
        <w:rPr>
          <w:rFonts w:hint="eastAsia"/>
        </w:rPr>
        <w:t>一、安全生产责任制度</w:t>
      </w:r>
      <w:bookmarkEnd w:id="2"/>
      <w:bookmarkEnd w:id="3"/>
      <w:bookmarkEnd w:id="4"/>
    </w:p>
    <w:p>
      <w:pPr>
        <w:pStyle w:val="3"/>
        <w:widowControl w:val="0"/>
      </w:pPr>
      <w:bookmarkStart w:id="6" w:name="_Toc6133"/>
      <w:bookmarkStart w:id="7" w:name="_Toc441389418"/>
      <w:bookmarkStart w:id="8" w:name="_Toc438135762"/>
      <w:bookmarkStart w:id="9" w:name="_Toc353"/>
      <w:bookmarkStart w:id="10" w:name="_Toc510164270"/>
      <w:r>
        <w:rPr>
          <w:rFonts w:hint="eastAsia"/>
        </w:rPr>
        <w:t>第一章 总则</w:t>
      </w:r>
      <w:bookmarkEnd w:id="6"/>
      <w:bookmarkEnd w:id="7"/>
      <w:bookmarkEnd w:id="8"/>
      <w:bookmarkEnd w:id="9"/>
      <w:bookmarkEnd w:id="10"/>
    </w:p>
    <w:p>
      <w:pPr>
        <w:widowControl w:val="0"/>
        <w:adjustRightInd w:val="0"/>
        <w:snapToGrid w:val="0"/>
        <w:ind w:firstLine="482"/>
        <w:rPr>
          <w:rFonts w:asciiTheme="minorEastAsia" w:hAnsiTheme="minorEastAsia"/>
        </w:rPr>
      </w:pPr>
      <w:r>
        <w:rPr>
          <w:rFonts w:hint="eastAsia" w:asciiTheme="minorEastAsia" w:hAnsiTheme="minorEastAsia"/>
          <w:b/>
        </w:rPr>
        <w:t xml:space="preserve">第一条 </w:t>
      </w:r>
      <w:r>
        <w:rPr>
          <w:rFonts w:hint="eastAsia" w:asciiTheme="minorEastAsia" w:hAnsiTheme="minorEastAsia"/>
        </w:rPr>
        <w:t>苏州中车建设工程有限公司台州市域铁路</w:t>
      </w:r>
      <w:r>
        <w:t>S1</w:t>
      </w:r>
      <w:r>
        <w:rPr>
          <w:rFonts w:hint="eastAsia" w:asciiTheme="minorEastAsia" w:hAnsiTheme="minorEastAsia"/>
        </w:rPr>
        <w:t>线一期</w:t>
      </w:r>
      <w:r>
        <w:rPr>
          <w:rFonts w:hint="eastAsia"/>
        </w:rPr>
        <w:t>PPP</w:t>
      </w:r>
      <w:r>
        <w:rPr>
          <w:rFonts w:hint="eastAsia" w:asciiTheme="minorEastAsia" w:hAnsiTheme="minorEastAsia"/>
        </w:rPr>
        <w:t>项目工程总承包项目部（以下简称“总承包项目部”）为了进一步</w:t>
      </w:r>
      <w:bookmarkStart w:id="11" w:name="_Hlk524973404"/>
      <w:r>
        <w:rPr>
          <w:rFonts w:hint="eastAsia" w:asciiTheme="minorEastAsia" w:hAnsiTheme="minorEastAsia"/>
        </w:rPr>
        <w:t>贯彻落实“安全第一、预防为主、综合治理”的安全生产方针，</w:t>
      </w:r>
      <w:r>
        <w:rPr>
          <w:rFonts w:hint="eastAsia" w:ascii="宋体" w:hAnsi="宋体"/>
        </w:rPr>
        <w:t>保障劳动者在工作中的生命健康和安全，保障本项目安全目标的顺利实现，</w:t>
      </w:r>
      <w:bookmarkEnd w:id="11"/>
      <w:r>
        <w:rPr>
          <w:rFonts w:hint="eastAsia" w:asciiTheme="minorEastAsia" w:hAnsiTheme="minorEastAsia"/>
        </w:rPr>
        <w:t>明确总承包项目部各部门及各岗位人员的安全生产责任，依据《中华人民共和国安全生产法》有关制度，以及苏州中车建设工程有限公司《安全生产责任制》，结合总承包项目部实际情况，特制定本制度。</w:t>
      </w:r>
    </w:p>
    <w:p>
      <w:pPr>
        <w:widowControl w:val="0"/>
        <w:ind w:firstLine="482"/>
        <w:rPr>
          <w:rFonts w:asciiTheme="minorEastAsia" w:hAnsiTheme="minorEastAsia"/>
        </w:rPr>
      </w:pPr>
      <w:r>
        <w:rPr>
          <w:rFonts w:hint="eastAsia" w:asciiTheme="minorEastAsia" w:hAnsiTheme="minorEastAsia"/>
          <w:b/>
        </w:rPr>
        <w:t xml:space="preserve">第二条 </w:t>
      </w:r>
      <w:r>
        <w:rPr>
          <w:rFonts w:hint="eastAsia" w:asciiTheme="minorEastAsia" w:hAnsiTheme="minorEastAsia"/>
        </w:rPr>
        <w:t>总承包项目部项目经理是本项目安全生产的第一责任人，总承包项目部各部门负责人是其部门安全生产的第一责任人，总承包项目部各工区项目部负责人是其工区安全生产的第一责任人；要贯彻“管生产必须管安全，谁主管谁负责</w:t>
      </w:r>
      <w:r>
        <w:rPr>
          <w:rFonts w:asciiTheme="minorEastAsia" w:hAnsiTheme="minorEastAsia"/>
        </w:rPr>
        <w:t>”</w:t>
      </w:r>
      <w:r>
        <w:rPr>
          <w:rFonts w:hint="eastAsia" w:asciiTheme="minorEastAsia" w:hAnsiTheme="minorEastAsia"/>
        </w:rPr>
        <w:t>的原则，总承包项目部的各级领导和职能人员必须在各自工作范围内，对安全生产负责。</w:t>
      </w:r>
    </w:p>
    <w:p>
      <w:pPr>
        <w:widowControl w:val="0"/>
        <w:ind w:firstLine="482"/>
        <w:rPr>
          <w:rFonts w:asciiTheme="minorEastAsia" w:hAnsiTheme="minorEastAsia"/>
        </w:rPr>
      </w:pPr>
      <w:r>
        <w:rPr>
          <w:rFonts w:hint="eastAsia" w:asciiTheme="minorEastAsia" w:hAnsiTheme="minorEastAsia"/>
          <w:b/>
        </w:rPr>
        <w:t xml:space="preserve">第三条 </w:t>
      </w:r>
      <w:r>
        <w:rPr>
          <w:rFonts w:hint="eastAsia" w:asciiTheme="minorEastAsia" w:hAnsiTheme="minorEastAsia"/>
        </w:rPr>
        <w:t>安全生产人人有责，项目的每个员工都必须在自己岗位上认真履行各自的安全职责，落实全员安全生产责任制。</w:t>
      </w:r>
    </w:p>
    <w:p>
      <w:pPr>
        <w:widowControl w:val="0"/>
        <w:ind w:firstLine="482"/>
        <w:rPr>
          <w:rFonts w:asciiTheme="minorEastAsia" w:hAnsiTheme="minorEastAsia"/>
        </w:rPr>
      </w:pPr>
      <w:r>
        <w:rPr>
          <w:rFonts w:hint="eastAsia" w:asciiTheme="minorEastAsia" w:hAnsiTheme="minorEastAsia"/>
          <w:b/>
        </w:rPr>
        <w:t>第四条</w:t>
      </w:r>
      <w:r>
        <w:rPr>
          <w:rFonts w:hint="eastAsia" w:asciiTheme="minorEastAsia" w:hAnsiTheme="minorEastAsia"/>
        </w:rPr>
        <w:t xml:space="preserve"> 总承包项目部安全生产目标：安全生产实现</w:t>
      </w:r>
      <w:bookmarkStart w:id="12" w:name="_Hlk526061420"/>
      <w:r>
        <w:rPr>
          <w:rFonts w:hint="eastAsia" w:asciiTheme="minorEastAsia" w:hAnsiTheme="minorEastAsia"/>
        </w:rPr>
        <w:t>零重大安全责任事故（即不发生较大及以上安全生产责任事故，不发生一类火灾事故）、零新增现岗职业病，</w:t>
      </w:r>
      <w:bookmarkEnd w:id="12"/>
      <w:r>
        <w:rPr>
          <w:rFonts w:hint="eastAsia" w:asciiTheme="minorEastAsia" w:hAnsiTheme="minorEastAsia"/>
        </w:rPr>
        <w:t>保护员工的生命和财产安全，维护员工的职业健康权益，让员工成为安全快乐有尊严的从业者，努力建设“平安中车”、“健康中车”。</w:t>
      </w:r>
    </w:p>
    <w:p>
      <w:pPr>
        <w:widowControl w:val="0"/>
        <w:ind w:firstLine="480"/>
        <w:rPr>
          <w:rFonts w:asciiTheme="minorEastAsia" w:hAnsiTheme="minorEastAsia"/>
        </w:rPr>
      </w:pPr>
      <w:r>
        <w:rPr>
          <w:rFonts w:hint="eastAsia" w:asciiTheme="minorEastAsia" w:hAnsiTheme="minorEastAsia"/>
        </w:rPr>
        <w:t>总承包项目部安全生产指标：职业危害申报率100%，应急预案备案率100%，主要负责人、安全管理人员等岗位人员上岗率100%，新员工安全教育率100%，职业危害检测合格率100%，重大事故隐患整改率100%。</w:t>
      </w:r>
    </w:p>
    <w:p>
      <w:pPr>
        <w:pStyle w:val="3"/>
        <w:widowControl w:val="0"/>
      </w:pPr>
      <w:bookmarkStart w:id="13" w:name="_Toc441389419"/>
      <w:bookmarkStart w:id="14" w:name="_Toc19479"/>
      <w:bookmarkStart w:id="15" w:name="_Toc510164271"/>
      <w:bookmarkStart w:id="16" w:name="_Toc28740"/>
      <w:r>
        <w:rPr>
          <w:rFonts w:hint="eastAsia"/>
        </w:rPr>
        <w:t>第二章 组织机构及安全生产责任</w:t>
      </w:r>
      <w:bookmarkEnd w:id="13"/>
      <w:bookmarkEnd w:id="14"/>
      <w:bookmarkEnd w:id="15"/>
      <w:bookmarkEnd w:id="16"/>
    </w:p>
    <w:p>
      <w:pPr>
        <w:widowControl w:val="0"/>
        <w:ind w:firstLine="482"/>
        <w:rPr>
          <w:rFonts w:asciiTheme="minorEastAsia" w:hAnsiTheme="minorEastAsia"/>
        </w:rPr>
      </w:pPr>
      <w:r>
        <w:rPr>
          <w:rFonts w:hint="eastAsia" w:asciiTheme="minorEastAsia" w:hAnsiTheme="minorEastAsia"/>
          <w:b/>
        </w:rPr>
        <w:t xml:space="preserve">第五条 </w:t>
      </w:r>
      <w:r>
        <w:rPr>
          <w:rFonts w:hint="eastAsia" w:asciiTheme="minorEastAsia" w:hAnsiTheme="minorEastAsia"/>
        </w:rPr>
        <w:t>总承包项目部成立安全生产领导小组，由总承包项目部管理层领导及各部门负责人等构成，全面负责总承包项目部安全生产的管理工作，领导小组下设安全生产办公室负责日常事务。</w:t>
      </w:r>
    </w:p>
    <w:p>
      <w:pPr>
        <w:widowControl w:val="0"/>
        <w:ind w:firstLine="480"/>
        <w:rPr>
          <w:rFonts w:asciiTheme="minorEastAsia" w:hAnsiTheme="minorEastAsia"/>
        </w:rPr>
      </w:pPr>
      <w:r>
        <w:rPr>
          <w:rFonts w:hint="eastAsia" w:asciiTheme="minorEastAsia" w:hAnsiTheme="minorEastAsia"/>
        </w:rPr>
        <w:t>组  长：项目经理</w:t>
      </w:r>
    </w:p>
    <w:p>
      <w:pPr>
        <w:widowControl w:val="0"/>
        <w:ind w:firstLine="480"/>
        <w:rPr>
          <w:rFonts w:asciiTheme="minorEastAsia" w:hAnsiTheme="minorEastAsia"/>
        </w:rPr>
      </w:pPr>
      <w:r>
        <w:rPr>
          <w:rFonts w:hint="eastAsia" w:asciiTheme="minorEastAsia" w:hAnsiTheme="minorEastAsia"/>
        </w:rPr>
        <w:t>副组长：安全总监、总工程师</w:t>
      </w:r>
    </w:p>
    <w:p>
      <w:pPr>
        <w:widowControl w:val="0"/>
        <w:ind w:firstLine="480"/>
        <w:rPr>
          <w:rFonts w:asciiTheme="minorEastAsia" w:hAnsiTheme="minorEastAsia"/>
        </w:rPr>
      </w:pPr>
      <w:r>
        <w:rPr>
          <w:rFonts w:hint="eastAsia" w:asciiTheme="minorEastAsia" w:hAnsiTheme="minorEastAsia"/>
        </w:rPr>
        <w:t>组  员：副经理、各部门负责人、工区经理、工区负责人、工区安全总监等。</w:t>
      </w:r>
    </w:p>
    <w:p>
      <w:pPr>
        <w:widowControl w:val="0"/>
        <w:ind w:firstLine="480"/>
        <w:rPr>
          <w:rFonts w:asciiTheme="minorEastAsia" w:hAnsiTheme="minorEastAsia"/>
        </w:rPr>
      </w:pPr>
      <w:r>
        <w:rPr>
          <w:rFonts w:asciiTheme="minorEastAsia" w:hAnsiTheme="minorEastAsia"/>
        </w:rPr>
        <w:t>安全组织机构框图</w:t>
      </w:r>
      <w:r>
        <w:rPr>
          <w:rFonts w:hint="eastAsia" w:asciiTheme="minorEastAsia" w:hAnsiTheme="minorEastAsia"/>
        </w:rPr>
        <w:t>见附件1框图，安全保证体系见附件</w:t>
      </w:r>
      <w:r>
        <w:rPr>
          <w:rFonts w:asciiTheme="minorEastAsia" w:hAnsiTheme="minorEastAsia"/>
        </w:rPr>
        <w:t>2</w:t>
      </w:r>
      <w:r>
        <w:rPr>
          <w:rFonts w:hint="eastAsia" w:asciiTheme="minorEastAsia" w:hAnsiTheme="minorEastAsia"/>
        </w:rPr>
        <w:t>框图。</w:t>
      </w:r>
    </w:p>
    <w:p>
      <w:pPr>
        <w:widowControl w:val="0"/>
        <w:ind w:firstLine="482"/>
        <w:rPr>
          <w:rFonts w:asciiTheme="minorEastAsia" w:hAnsiTheme="minorEastAsia"/>
        </w:rPr>
      </w:pPr>
      <w:r>
        <w:rPr>
          <w:rFonts w:hint="eastAsia" w:asciiTheme="minorEastAsia" w:hAnsiTheme="minorEastAsia"/>
          <w:b/>
        </w:rPr>
        <w:t xml:space="preserve">第六条 </w:t>
      </w:r>
      <w:bookmarkStart w:id="17" w:name="_Hlk524968622"/>
      <w:r>
        <w:rPr>
          <w:rFonts w:hint="eastAsia" w:asciiTheme="minorEastAsia" w:hAnsiTheme="minorEastAsia"/>
        </w:rPr>
        <w:t>总承包项目部</w:t>
      </w:r>
      <w:bookmarkEnd w:id="17"/>
      <w:r>
        <w:rPr>
          <w:rFonts w:hint="eastAsia" w:asciiTheme="minorEastAsia" w:hAnsiTheme="minorEastAsia"/>
        </w:rPr>
        <w:t>安全生产领导小组安全生产职责</w:t>
      </w:r>
    </w:p>
    <w:p>
      <w:pPr>
        <w:widowControl w:val="0"/>
        <w:ind w:firstLine="480"/>
        <w:rPr>
          <w:rFonts w:asciiTheme="minorEastAsia" w:hAnsiTheme="minorEastAsia"/>
        </w:rPr>
      </w:pPr>
      <w:r>
        <w:rPr>
          <w:rFonts w:hint="eastAsia" w:asciiTheme="minorEastAsia" w:hAnsiTheme="minorEastAsia"/>
        </w:rPr>
        <w:t>（一）全面负责总承包项目部安全生产（包括生产安全、职业健康、消防、交通安全等）的管理工作；</w:t>
      </w:r>
    </w:p>
    <w:p>
      <w:pPr>
        <w:widowControl w:val="0"/>
        <w:ind w:firstLine="480"/>
        <w:rPr>
          <w:rFonts w:asciiTheme="minorEastAsia" w:hAnsiTheme="minorEastAsia"/>
        </w:rPr>
      </w:pPr>
      <w:r>
        <w:rPr>
          <w:rFonts w:hint="eastAsia" w:asciiTheme="minorEastAsia" w:hAnsiTheme="minorEastAsia"/>
        </w:rPr>
        <w:t>（二）贯彻落实国家、地方关于安全生产的法律法规、方针、政策。根据要求组织开展总承包项目部安全生产工作；</w:t>
      </w:r>
    </w:p>
    <w:p>
      <w:pPr>
        <w:widowControl w:val="0"/>
        <w:ind w:firstLine="480"/>
        <w:rPr>
          <w:rFonts w:asciiTheme="minorEastAsia" w:hAnsiTheme="minorEastAsia"/>
        </w:rPr>
      </w:pPr>
      <w:r>
        <w:rPr>
          <w:rFonts w:hint="eastAsia" w:asciiTheme="minorEastAsia" w:hAnsiTheme="minorEastAsia"/>
        </w:rPr>
        <w:t>（三）定期分析项目安全生产形势；研究、协调和解决安全生产中的重大问题；建立安全生产“五落实五到位”责任管理体系和诚信体系；完善职业健康安全管理和应急救援等规章制度体系；推进安全生产标准化建设；推广先进的安全技术和管理方法；不断提高安全生产整体水平；</w:t>
      </w:r>
    </w:p>
    <w:p>
      <w:pPr>
        <w:widowControl w:val="0"/>
        <w:ind w:firstLine="480"/>
        <w:rPr>
          <w:rFonts w:asciiTheme="minorEastAsia" w:hAnsiTheme="minorEastAsia"/>
        </w:rPr>
      </w:pPr>
      <w:r>
        <w:rPr>
          <w:rFonts w:hint="eastAsia" w:asciiTheme="minorEastAsia" w:hAnsiTheme="minorEastAsia"/>
        </w:rPr>
        <w:t>（四）按照国家和地方以及总承包项目部有关制度，对总承包项目部内发生生产安全事故中出现问题的责任单位和责任人提出处理意见；对有关安全生产的重大事项做出决定；</w:t>
      </w:r>
    </w:p>
    <w:p>
      <w:pPr>
        <w:widowControl w:val="0"/>
        <w:ind w:firstLine="480"/>
        <w:rPr>
          <w:rFonts w:asciiTheme="minorEastAsia" w:hAnsiTheme="minorEastAsia"/>
        </w:rPr>
      </w:pPr>
      <w:r>
        <w:rPr>
          <w:rFonts w:hint="eastAsia" w:asciiTheme="minorEastAsia" w:hAnsiTheme="minorEastAsia"/>
        </w:rPr>
        <w:t>（五）统筹确定劳动保护治理项目，审查批准安全技术措施计划，落实安全生产资金，督促检查安全措施计划的实施及治理效果，进一步改善员工的生产作业环境和安全生产条件；</w:t>
      </w:r>
    </w:p>
    <w:p>
      <w:pPr>
        <w:widowControl w:val="0"/>
        <w:ind w:firstLine="480"/>
        <w:rPr>
          <w:rFonts w:asciiTheme="minorEastAsia" w:hAnsiTheme="minorEastAsia"/>
        </w:rPr>
      </w:pPr>
      <w:r>
        <w:rPr>
          <w:rFonts w:hint="eastAsia" w:asciiTheme="minorEastAsia" w:hAnsiTheme="minorEastAsia"/>
        </w:rPr>
        <w:t>（六）安全生产领导小组下设办公室，负责处理日常工作，办公地点在安质环保部。</w:t>
      </w:r>
    </w:p>
    <w:p>
      <w:pPr>
        <w:widowControl w:val="0"/>
        <w:ind w:firstLine="482"/>
        <w:rPr>
          <w:rFonts w:asciiTheme="minorEastAsia" w:hAnsiTheme="minorEastAsia"/>
        </w:rPr>
      </w:pPr>
      <w:r>
        <w:rPr>
          <w:rFonts w:hint="eastAsia" w:asciiTheme="minorEastAsia" w:hAnsiTheme="minorEastAsia"/>
          <w:b/>
        </w:rPr>
        <w:t>第七条</w:t>
      </w:r>
      <w:r>
        <w:rPr>
          <w:rFonts w:hint="eastAsia" w:asciiTheme="minorEastAsia" w:hAnsiTheme="minorEastAsia"/>
        </w:rPr>
        <w:t xml:space="preserve"> 安全生产领导小组办公室安全生产职责</w:t>
      </w:r>
    </w:p>
    <w:p>
      <w:pPr>
        <w:widowControl w:val="0"/>
        <w:ind w:firstLine="480"/>
        <w:rPr>
          <w:rFonts w:asciiTheme="minorEastAsia" w:hAnsiTheme="minorEastAsia"/>
        </w:rPr>
      </w:pPr>
      <w:r>
        <w:rPr>
          <w:rFonts w:hint="eastAsia" w:asciiTheme="minorEastAsia" w:hAnsiTheme="minorEastAsia"/>
        </w:rPr>
        <w:t>（一）承办总承包项目部安全例行会议、年度安全工作会议等；</w:t>
      </w:r>
    </w:p>
    <w:p>
      <w:pPr>
        <w:widowControl w:val="0"/>
        <w:ind w:firstLine="480"/>
        <w:rPr>
          <w:rFonts w:asciiTheme="minorEastAsia" w:hAnsiTheme="minorEastAsia"/>
        </w:rPr>
      </w:pPr>
      <w:r>
        <w:rPr>
          <w:rFonts w:hint="eastAsia" w:asciiTheme="minorEastAsia" w:hAnsiTheme="minorEastAsia"/>
        </w:rPr>
        <w:t>（二）追踪会议决议和年度安全工作会议精神贯彻落实情况；</w:t>
      </w:r>
    </w:p>
    <w:p>
      <w:pPr>
        <w:widowControl w:val="0"/>
        <w:ind w:firstLine="480"/>
        <w:rPr>
          <w:rFonts w:asciiTheme="minorEastAsia" w:hAnsiTheme="minorEastAsia"/>
        </w:rPr>
      </w:pPr>
      <w:r>
        <w:rPr>
          <w:rFonts w:hint="eastAsia" w:asciiTheme="minorEastAsia" w:hAnsiTheme="minorEastAsia"/>
        </w:rPr>
        <w:t>（三）指导监督总承包项目部各部门及各项目的安全生产、应急管理工作；</w:t>
      </w:r>
    </w:p>
    <w:p>
      <w:pPr>
        <w:widowControl w:val="0"/>
        <w:ind w:firstLine="480"/>
        <w:rPr>
          <w:rFonts w:asciiTheme="minorEastAsia" w:hAnsiTheme="minorEastAsia"/>
        </w:rPr>
      </w:pPr>
      <w:r>
        <w:rPr>
          <w:rFonts w:hint="eastAsia" w:asciiTheme="minorEastAsia" w:hAnsiTheme="minorEastAsia"/>
        </w:rPr>
        <w:t>（四）协调配合地方安全监管部门、地方行业主管部门等政府部门的工作；</w:t>
      </w:r>
    </w:p>
    <w:p>
      <w:pPr>
        <w:widowControl w:val="0"/>
        <w:ind w:firstLine="480"/>
        <w:rPr>
          <w:rFonts w:asciiTheme="minorEastAsia" w:hAnsiTheme="minorEastAsia"/>
        </w:rPr>
      </w:pPr>
      <w:r>
        <w:rPr>
          <w:rFonts w:hint="eastAsia" w:asciiTheme="minorEastAsia" w:hAnsiTheme="minorEastAsia"/>
        </w:rPr>
        <w:t>（五）完成领导小组交办事项和其他日常工作。</w:t>
      </w:r>
    </w:p>
    <w:p>
      <w:pPr>
        <w:pStyle w:val="3"/>
        <w:widowControl w:val="0"/>
      </w:pPr>
      <w:bookmarkStart w:id="18" w:name="_Toc8111"/>
      <w:r>
        <w:rPr>
          <w:rFonts w:hint="eastAsia"/>
        </w:rPr>
        <w:t>第三章 部门安全生产责任</w:t>
      </w:r>
      <w:bookmarkEnd w:id="18"/>
    </w:p>
    <w:p>
      <w:pPr>
        <w:widowControl w:val="0"/>
        <w:ind w:firstLine="482"/>
        <w:rPr>
          <w:rFonts w:asciiTheme="minorEastAsia" w:hAnsiTheme="minorEastAsia" w:cstheme="minorBidi"/>
        </w:rPr>
      </w:pPr>
      <w:r>
        <w:rPr>
          <w:rFonts w:hint="eastAsia" w:asciiTheme="minorEastAsia" w:hAnsiTheme="minorEastAsia" w:cstheme="minorBidi"/>
          <w:b/>
        </w:rPr>
        <w:t xml:space="preserve">第八条 </w:t>
      </w:r>
      <w:r>
        <w:rPr>
          <w:rFonts w:hint="eastAsia" w:asciiTheme="minorEastAsia" w:hAnsiTheme="minorEastAsia" w:cstheme="minorBidi"/>
        </w:rPr>
        <w:t>安质环保部安全生产职责</w:t>
      </w:r>
    </w:p>
    <w:p>
      <w:pPr>
        <w:widowControl w:val="0"/>
        <w:ind w:firstLine="480"/>
        <w:rPr>
          <w:rFonts w:asciiTheme="minorEastAsia" w:hAnsiTheme="minorEastAsia" w:cstheme="minorBidi"/>
        </w:rPr>
      </w:pPr>
      <w:r>
        <w:rPr>
          <w:rFonts w:hint="eastAsia" w:asciiTheme="minorEastAsia" w:hAnsiTheme="minorEastAsia" w:cstheme="minorBidi"/>
        </w:rPr>
        <w:t>（一）负责贯彻执行国家、地方有关职业健康安全的法律、法规、标准、规章制度和要求，指导监督各部门、各工程项目做好职业健康安全、消防安全等工作，并对总承包项目部范围内责任制的执行情况进行监督；</w:t>
      </w:r>
    </w:p>
    <w:p>
      <w:pPr>
        <w:widowControl w:val="0"/>
        <w:ind w:firstLine="480"/>
        <w:rPr>
          <w:rFonts w:asciiTheme="minorEastAsia" w:hAnsiTheme="minorEastAsia" w:cstheme="minorBidi"/>
        </w:rPr>
      </w:pPr>
      <w:r>
        <w:rPr>
          <w:rFonts w:hint="eastAsia" w:asciiTheme="minorEastAsia" w:hAnsiTheme="minorEastAsia" w:cstheme="minorBidi"/>
        </w:rPr>
        <w:t>（二）定期制定总承包项目部安全工作计划和方针目标，并负责贯彻实施。及时召开安全生产会议，研究、协调、处理安全生产中的问题，为总承包项目部安全生产提出相应措施；</w:t>
      </w:r>
    </w:p>
    <w:p>
      <w:pPr>
        <w:widowControl w:val="0"/>
        <w:ind w:firstLine="480"/>
        <w:rPr>
          <w:rFonts w:asciiTheme="minorEastAsia" w:hAnsiTheme="minorEastAsia" w:cstheme="minorBidi"/>
        </w:rPr>
      </w:pPr>
      <w:r>
        <w:rPr>
          <w:rFonts w:hint="eastAsia" w:asciiTheme="minorEastAsia" w:hAnsiTheme="minorEastAsia" w:cstheme="minorBidi"/>
        </w:rPr>
        <w:t>（三）负责组织制定总承包项目部安全生产责任制、各项安全生产规章制度和相关安全标准；负责编制总承包项目部安全生产发展规划和安全技术措施计划，并组织实施。跟踪安全制度、体系的运转，发现问题及时处理解决；</w:t>
      </w:r>
    </w:p>
    <w:p>
      <w:pPr>
        <w:widowControl w:val="0"/>
        <w:ind w:firstLine="480"/>
        <w:rPr>
          <w:rFonts w:asciiTheme="minorEastAsia" w:hAnsiTheme="minorEastAsia" w:cstheme="minorBidi"/>
        </w:rPr>
      </w:pPr>
      <w:r>
        <w:rPr>
          <w:rFonts w:hint="eastAsia" w:asciiTheme="minorEastAsia" w:hAnsiTheme="minorEastAsia" w:cstheme="minorBidi"/>
        </w:rPr>
        <w:t>（四）组织安全大检查，协助和督促有关部门和项目部对查出的隐患制订防范措施，组织研究落实重大事故隐患的整改方案，检查隐患整改工作的完成情况，对存在的重大隐患在紧急情况下有权决定停止作业；</w:t>
      </w:r>
    </w:p>
    <w:p>
      <w:pPr>
        <w:widowControl w:val="0"/>
        <w:ind w:firstLine="480"/>
        <w:rPr>
          <w:rFonts w:asciiTheme="minorEastAsia" w:hAnsiTheme="minorEastAsia" w:cstheme="minorBidi"/>
        </w:rPr>
      </w:pPr>
      <w:r>
        <w:rPr>
          <w:rFonts w:hint="eastAsia" w:asciiTheme="minorEastAsia" w:hAnsiTheme="minorEastAsia" w:cstheme="minorBidi"/>
        </w:rPr>
        <w:t>（五）对广大员工进行安全教育，编制安全培训教育计划并协助实施；会同人力资源部积极聘请国内外知名安全专家、学者进总承包项目部开展安全知识理念讲座、培训活动；</w:t>
      </w:r>
    </w:p>
    <w:p>
      <w:pPr>
        <w:widowControl w:val="0"/>
        <w:ind w:firstLine="480"/>
        <w:rPr>
          <w:rFonts w:asciiTheme="minorEastAsia" w:hAnsiTheme="minorEastAsia" w:cstheme="minorBidi"/>
        </w:rPr>
      </w:pPr>
      <w:r>
        <w:rPr>
          <w:rFonts w:hint="eastAsia" w:asciiTheme="minorEastAsia" w:hAnsiTheme="minorEastAsia" w:cstheme="minorBidi"/>
        </w:rPr>
        <w:t>（六）负责总承包项目部级重大危险源的建档，监督、指导重大危险源所在部门、项目部对其进行重点监控、制定应急预案并进行演练；负责组织对各部门、项目部上报的重大危险源控制措施、风险控制计划的审核、监督管理；收集各工程项目部安全生产管理信息，了解管理动态，并向安委会通报；</w:t>
      </w:r>
    </w:p>
    <w:p>
      <w:pPr>
        <w:widowControl w:val="0"/>
        <w:ind w:firstLine="480"/>
        <w:rPr>
          <w:rFonts w:asciiTheme="minorEastAsia" w:hAnsiTheme="minorEastAsia" w:cstheme="minorBidi"/>
        </w:rPr>
      </w:pPr>
      <w:r>
        <w:rPr>
          <w:rFonts w:hint="eastAsia" w:asciiTheme="minorEastAsia" w:hAnsiTheme="minorEastAsia" w:cstheme="minorBidi"/>
        </w:rPr>
        <w:t>（七）负责组织对事故和未遂事故按“四不放过”的原则调查、分析、提出处理意见，指导有关部门制定防范措施并督促按期完成；负责对总承包项目部事故案例进行统计、分析、上报和归档工作；</w:t>
      </w:r>
    </w:p>
    <w:p>
      <w:pPr>
        <w:widowControl w:val="0"/>
        <w:ind w:firstLine="480"/>
        <w:rPr>
          <w:rFonts w:asciiTheme="minorEastAsia" w:hAnsiTheme="minorEastAsia" w:cstheme="minorBidi"/>
        </w:rPr>
      </w:pPr>
      <w:r>
        <w:rPr>
          <w:rFonts w:hint="eastAsia" w:asciiTheme="minorEastAsia" w:hAnsiTheme="minorEastAsia" w:cstheme="minorBidi"/>
        </w:rPr>
        <w:t>（八）组织推广现代安全管理方法和安全生产的先进经验。具体负责在总承包项目部推广并保持职业健康安全管理体系，组织开展安全生产标准化建设,做好安全生产奖惩工作。深入工地等场所研究不安全动态，提出改正意见；</w:t>
      </w:r>
    </w:p>
    <w:p>
      <w:pPr>
        <w:widowControl w:val="0"/>
        <w:ind w:firstLine="480"/>
        <w:rPr>
          <w:rFonts w:asciiTheme="minorEastAsia" w:hAnsiTheme="minorEastAsia" w:cstheme="minorBidi"/>
        </w:rPr>
      </w:pPr>
      <w:r>
        <w:rPr>
          <w:rFonts w:hint="eastAsia" w:asciiTheme="minorEastAsia" w:hAnsiTheme="minorEastAsia" w:cstheme="minorBidi"/>
        </w:rPr>
        <w:t>（九）参加施工组织设计、安全专项方案、施工方案等评审，发现问题及时反馈处理；</w:t>
      </w:r>
    </w:p>
    <w:p>
      <w:pPr>
        <w:widowControl w:val="0"/>
        <w:ind w:firstLine="480"/>
        <w:rPr>
          <w:rFonts w:asciiTheme="minorEastAsia" w:hAnsiTheme="minorEastAsia" w:cstheme="minorBidi"/>
        </w:rPr>
      </w:pPr>
      <w:r>
        <w:rPr>
          <w:rFonts w:hint="eastAsia" w:asciiTheme="minorEastAsia" w:hAnsiTheme="minorEastAsia" w:cstheme="minorBidi"/>
        </w:rPr>
        <w:t>（十）监督安全措施投入计划的落实，统计总承包项目部安全投入情况；</w:t>
      </w:r>
    </w:p>
    <w:p>
      <w:pPr>
        <w:widowControl w:val="0"/>
        <w:ind w:firstLine="480"/>
        <w:rPr>
          <w:rFonts w:asciiTheme="minorEastAsia" w:hAnsiTheme="minorEastAsia" w:cstheme="minorBidi"/>
        </w:rPr>
      </w:pPr>
      <w:r>
        <w:rPr>
          <w:rFonts w:hint="eastAsia" w:asciiTheme="minorEastAsia" w:hAnsiTheme="minorEastAsia" w:cstheme="minorBidi"/>
        </w:rPr>
        <w:t>（十一）负责总承包项目部健康体检计划制定，按照规范制度要求购买劳动保护用品、防暑降温用品并及时发放，指导并监督员工正确使用；</w:t>
      </w:r>
    </w:p>
    <w:p>
      <w:pPr>
        <w:widowControl w:val="0"/>
        <w:ind w:firstLine="480"/>
        <w:rPr>
          <w:rFonts w:asciiTheme="minorEastAsia" w:hAnsiTheme="minorEastAsia" w:cstheme="minorBidi"/>
        </w:rPr>
      </w:pPr>
      <w:r>
        <w:rPr>
          <w:rFonts w:hint="eastAsia" w:asciiTheme="minorEastAsia" w:hAnsiTheme="minorEastAsia" w:cstheme="minorBidi"/>
        </w:rPr>
        <w:t>（十二）负责对外委或合同单位的安全资格和安全生产条件的审核；负责对外委或合同单位安全生产工作监管，审核其安全生产费用，监督其安全生产设施、设备、安全措施的落实；</w:t>
      </w:r>
    </w:p>
    <w:p>
      <w:pPr>
        <w:widowControl w:val="0"/>
        <w:ind w:firstLine="480"/>
        <w:rPr>
          <w:rFonts w:asciiTheme="minorEastAsia" w:hAnsiTheme="minorEastAsia" w:cstheme="minorBidi"/>
        </w:rPr>
      </w:pPr>
      <w:r>
        <w:rPr>
          <w:rFonts w:hint="eastAsia" w:asciiTheme="minorEastAsia" w:hAnsiTheme="minorEastAsia" w:cstheme="minorBidi"/>
        </w:rPr>
        <w:t>（十三）协调总承包项目部与国家及地方安全监管部门的业务往来；</w:t>
      </w:r>
    </w:p>
    <w:p>
      <w:pPr>
        <w:widowControl w:val="0"/>
        <w:ind w:firstLine="480"/>
        <w:rPr>
          <w:rFonts w:asciiTheme="minorEastAsia" w:hAnsiTheme="minorEastAsia" w:cstheme="minorBidi"/>
        </w:rPr>
      </w:pPr>
      <w:r>
        <w:rPr>
          <w:rFonts w:hint="eastAsia" w:asciiTheme="minorEastAsia" w:hAnsiTheme="minorEastAsia" w:cstheme="minorBidi"/>
        </w:rPr>
        <w:t>（十四）组织制定总承包项目部的应急预案，定期开展应急演练活动，对各项目应急预案进行审批，对应急演练活动及应急物资配备情况进行监督；</w:t>
      </w:r>
    </w:p>
    <w:p>
      <w:pPr>
        <w:widowControl w:val="0"/>
        <w:ind w:firstLine="480"/>
        <w:rPr>
          <w:rFonts w:asciiTheme="minorEastAsia" w:hAnsiTheme="minorEastAsia" w:cstheme="minorBidi"/>
        </w:rPr>
      </w:pPr>
      <w:r>
        <w:rPr>
          <w:rFonts w:hint="eastAsia" w:asciiTheme="minorEastAsia" w:hAnsiTheme="minorEastAsia" w:cstheme="minorBidi"/>
        </w:rPr>
        <w:t>（十五）负责组织适用总承包项目部的安全生产法律法规和其他要求的收集、获取和适用性识别、合规性评价；</w:t>
      </w:r>
    </w:p>
    <w:p>
      <w:pPr>
        <w:widowControl w:val="0"/>
        <w:ind w:firstLine="480"/>
        <w:rPr>
          <w:rFonts w:asciiTheme="minorEastAsia" w:hAnsiTheme="minorEastAsia" w:cstheme="minorBidi"/>
        </w:rPr>
      </w:pPr>
      <w:r>
        <w:rPr>
          <w:rFonts w:hint="eastAsia" w:asciiTheme="minorEastAsia" w:hAnsiTheme="minorEastAsia" w:cstheme="minorBidi"/>
        </w:rPr>
        <w:t>（十六）负责处理安全生产领导小组办公室的日常工作。</w:t>
      </w:r>
    </w:p>
    <w:p>
      <w:pPr>
        <w:widowControl w:val="0"/>
        <w:ind w:firstLine="482"/>
        <w:rPr>
          <w:rFonts w:asciiTheme="minorEastAsia" w:hAnsiTheme="minorEastAsia" w:cstheme="minorBidi"/>
        </w:rPr>
      </w:pPr>
      <w:r>
        <w:rPr>
          <w:rFonts w:hint="eastAsia" w:asciiTheme="minorEastAsia" w:hAnsiTheme="minorEastAsia" w:cstheme="minorBidi"/>
          <w:b/>
        </w:rPr>
        <w:t xml:space="preserve">第九条 </w:t>
      </w:r>
      <w:r>
        <w:rPr>
          <w:rFonts w:hint="eastAsia" w:asciiTheme="minorEastAsia" w:hAnsiTheme="minorEastAsia" w:cstheme="minorBidi"/>
        </w:rPr>
        <w:t>工程部安全生产职责</w:t>
      </w:r>
    </w:p>
    <w:p>
      <w:pPr>
        <w:widowControl w:val="0"/>
        <w:ind w:firstLine="480"/>
        <w:rPr>
          <w:rFonts w:asciiTheme="minorEastAsia" w:hAnsiTheme="minorEastAsia" w:cstheme="minorBidi"/>
        </w:rPr>
      </w:pPr>
      <w:r>
        <w:rPr>
          <w:rFonts w:hint="eastAsia" w:asciiTheme="minorEastAsia" w:hAnsiTheme="minorEastAsia" w:cstheme="minorBidi"/>
        </w:rPr>
        <w:t>（一）对总承包项目部安全生产技术管理负管理责任。在工程技术管理工作中，具体审核、检查贯彻执行有关安全生产管理、劳动保护、职业卫生的法律、法规、行业标准及企业相关管理制度；组织编制、修订和完善总承包项目部技术管理方面涉及安全生产的管理制度，并监督实施；</w:t>
      </w:r>
    </w:p>
    <w:p>
      <w:pPr>
        <w:widowControl w:val="0"/>
        <w:ind w:firstLine="480"/>
        <w:rPr>
          <w:rFonts w:asciiTheme="minorEastAsia" w:hAnsiTheme="minorEastAsia" w:cstheme="minorBidi"/>
        </w:rPr>
      </w:pPr>
      <w:r>
        <w:rPr>
          <w:rFonts w:hint="eastAsia" w:asciiTheme="minorEastAsia" w:hAnsiTheme="minorEastAsia" w:cstheme="minorBidi"/>
        </w:rPr>
        <w:t>（二）在组织编制年度生产计划的同时组织编制年度安全生产计划，做到安全工作与生产工作同计划、同布置、同实施；</w:t>
      </w:r>
    </w:p>
    <w:p>
      <w:pPr>
        <w:widowControl w:val="0"/>
        <w:ind w:firstLine="480"/>
        <w:rPr>
          <w:rFonts w:asciiTheme="minorEastAsia" w:hAnsiTheme="minorEastAsia" w:cstheme="minorBidi"/>
        </w:rPr>
      </w:pPr>
      <w:r>
        <w:rPr>
          <w:rFonts w:hint="eastAsia" w:asciiTheme="minorEastAsia" w:hAnsiTheme="minorEastAsia" w:cstheme="minorBidi"/>
        </w:rPr>
        <w:t>（三）在组织生产活动分析、管理对标的同时，做好安全生产分析、安全管理对标工作；</w:t>
      </w:r>
    </w:p>
    <w:p>
      <w:pPr>
        <w:widowControl w:val="0"/>
        <w:ind w:firstLine="480"/>
        <w:rPr>
          <w:rFonts w:asciiTheme="minorEastAsia" w:hAnsiTheme="minorEastAsia" w:cstheme="minorBidi"/>
        </w:rPr>
      </w:pPr>
      <w:r>
        <w:rPr>
          <w:rFonts w:hint="eastAsia" w:asciiTheme="minorEastAsia" w:hAnsiTheme="minorEastAsia" w:cstheme="minorBidi"/>
        </w:rPr>
        <w:t>（四）在年度考核中，将安全生产工作作为生产活动考核的重要内容，出现生产安全责任事故时实行一票否决；</w:t>
      </w:r>
    </w:p>
    <w:p>
      <w:pPr>
        <w:widowControl w:val="0"/>
        <w:ind w:firstLine="480"/>
        <w:rPr>
          <w:rFonts w:asciiTheme="minorEastAsia" w:hAnsiTheme="minorEastAsia" w:cstheme="minorBidi"/>
        </w:rPr>
      </w:pPr>
      <w:r>
        <w:rPr>
          <w:rFonts w:hint="eastAsia" w:asciiTheme="minorEastAsia" w:hAnsiTheme="minorEastAsia" w:cstheme="minorBidi"/>
        </w:rPr>
        <w:t>（五）对生产过程中发现的重大风险、重大安全隐患、职业健康等问题要及时报送，并积极落实针对发现问题所采取的整改措施；</w:t>
      </w:r>
    </w:p>
    <w:p>
      <w:pPr>
        <w:widowControl w:val="0"/>
        <w:ind w:firstLine="480"/>
        <w:rPr>
          <w:rFonts w:asciiTheme="minorEastAsia" w:hAnsiTheme="minorEastAsia" w:cstheme="minorBidi"/>
        </w:rPr>
      </w:pPr>
      <w:r>
        <w:rPr>
          <w:rFonts w:hint="eastAsia" w:asciiTheme="minorEastAsia" w:hAnsiTheme="minorEastAsia" w:cstheme="minorBidi"/>
        </w:rPr>
        <w:t>（六）认真学习、贯彻执行国家和上级有关安全技术及安全操作规程制度，保障施工生产中的安全技术措施的制定与实施；</w:t>
      </w:r>
    </w:p>
    <w:p>
      <w:pPr>
        <w:widowControl w:val="0"/>
        <w:ind w:firstLine="480"/>
        <w:rPr>
          <w:rFonts w:asciiTheme="minorEastAsia" w:hAnsiTheme="minorEastAsia" w:cstheme="minorBidi"/>
        </w:rPr>
      </w:pPr>
      <w:r>
        <w:rPr>
          <w:rFonts w:hint="eastAsia" w:asciiTheme="minorEastAsia" w:hAnsiTheme="minorEastAsia" w:cstheme="minorBidi"/>
        </w:rPr>
        <w:t>（七）协助监督检查外委或合同单位安全管理工作，协助监督审核其安全生产费用的使用，保证现场安全防护设施、设备的落实；协同监管生产过程中发现的重大风险、重大安全隐患、职业健康等问题整改措施的落实；</w:t>
      </w:r>
    </w:p>
    <w:p>
      <w:pPr>
        <w:widowControl w:val="0"/>
        <w:ind w:firstLine="480"/>
        <w:rPr>
          <w:rFonts w:asciiTheme="minorEastAsia" w:hAnsiTheme="minorEastAsia" w:cstheme="minorBidi"/>
        </w:rPr>
      </w:pPr>
      <w:r>
        <w:rPr>
          <w:rFonts w:hint="eastAsia" w:asciiTheme="minorEastAsia" w:hAnsiTheme="minorEastAsia" w:cstheme="minorBidi"/>
        </w:rPr>
        <w:t>（八）对“四新”技术（新技术、新材料、新工艺、新设备）必须制定相应的安全技术措施和安全操作规程；</w:t>
      </w:r>
    </w:p>
    <w:p>
      <w:pPr>
        <w:widowControl w:val="0"/>
        <w:ind w:firstLine="480"/>
        <w:rPr>
          <w:rFonts w:asciiTheme="minorEastAsia" w:hAnsiTheme="minorEastAsia" w:cstheme="minorBidi"/>
        </w:rPr>
      </w:pPr>
      <w:r>
        <w:rPr>
          <w:rFonts w:hint="eastAsia" w:asciiTheme="minorEastAsia" w:hAnsiTheme="minorEastAsia" w:cstheme="minorBidi"/>
        </w:rPr>
        <w:t>（九）对改善劳动条件、减轻笨重体力劳动、消除噪声等方面的治理进行必要的研究解决；</w:t>
      </w:r>
    </w:p>
    <w:p>
      <w:pPr>
        <w:widowControl w:val="0"/>
        <w:ind w:firstLine="480"/>
        <w:rPr>
          <w:rFonts w:asciiTheme="minorEastAsia" w:hAnsiTheme="minorEastAsia" w:cstheme="minorBidi"/>
        </w:rPr>
      </w:pPr>
      <w:r>
        <w:rPr>
          <w:rFonts w:hint="eastAsia" w:asciiTheme="minorEastAsia" w:hAnsiTheme="minorEastAsia" w:cstheme="minorBidi"/>
        </w:rPr>
        <w:t>（十）在生产任务与安全保障发生矛盾时，必须优先解决安全问题才能实施生产活动；</w:t>
      </w:r>
    </w:p>
    <w:p>
      <w:pPr>
        <w:widowControl w:val="0"/>
        <w:ind w:firstLine="480"/>
        <w:rPr>
          <w:rFonts w:asciiTheme="minorEastAsia" w:hAnsiTheme="minorEastAsia" w:cstheme="minorBidi"/>
        </w:rPr>
      </w:pPr>
      <w:r>
        <w:rPr>
          <w:rFonts w:hint="eastAsia" w:asciiTheme="minorEastAsia" w:hAnsiTheme="minorEastAsia" w:cstheme="minorBidi"/>
        </w:rPr>
        <w:t>（十一）参加工程、物资事故和重大已、未遂事故中技术性问题的调查，分析事故原因，从技术上提出防范措施；</w:t>
      </w:r>
    </w:p>
    <w:p>
      <w:pPr>
        <w:widowControl w:val="0"/>
        <w:ind w:firstLine="480"/>
        <w:rPr>
          <w:rFonts w:asciiTheme="minorEastAsia" w:hAnsiTheme="minorEastAsia" w:cstheme="minorBidi"/>
        </w:rPr>
      </w:pPr>
      <w:r>
        <w:rPr>
          <w:rFonts w:hint="eastAsia" w:asciiTheme="minorEastAsia" w:hAnsiTheme="minorEastAsia" w:cstheme="minorBidi"/>
        </w:rPr>
        <w:t>（十二）参加总承包项目部安全生产检查，根据需要组织工程、物资专项安全检查，及时督促整改安全隐患。</w:t>
      </w:r>
    </w:p>
    <w:p>
      <w:pPr>
        <w:widowControl w:val="0"/>
        <w:ind w:firstLine="482"/>
        <w:rPr>
          <w:rFonts w:asciiTheme="minorEastAsia" w:hAnsiTheme="minorEastAsia" w:cstheme="minorBidi"/>
        </w:rPr>
      </w:pPr>
      <w:r>
        <w:rPr>
          <w:rFonts w:hint="eastAsia" w:asciiTheme="minorEastAsia" w:hAnsiTheme="minorEastAsia" w:cstheme="minorBidi"/>
          <w:b/>
        </w:rPr>
        <w:t xml:space="preserve">第十条 </w:t>
      </w:r>
      <w:r>
        <w:rPr>
          <w:rFonts w:hint="eastAsia" w:asciiTheme="minorEastAsia" w:hAnsiTheme="minorEastAsia" w:cstheme="minorBidi"/>
        </w:rPr>
        <w:t>物资设备部安全生产职责</w:t>
      </w:r>
    </w:p>
    <w:p>
      <w:pPr>
        <w:widowControl w:val="0"/>
        <w:ind w:firstLine="480"/>
        <w:rPr>
          <w:rFonts w:asciiTheme="minorEastAsia" w:hAnsiTheme="minorEastAsia" w:cstheme="minorBidi"/>
        </w:rPr>
      </w:pPr>
      <w:r>
        <w:rPr>
          <w:rFonts w:hint="eastAsia" w:asciiTheme="minorEastAsia" w:hAnsiTheme="minorEastAsia" w:cstheme="minorBidi"/>
        </w:rPr>
        <w:t>（一）凡采购进总承包项目部的各种材料、器材等物资，必须符合安全技术要求和有关标准，按制度验收合格后，方可入库，对采购材料、器材等物资的安全可靠性全面负责；</w:t>
      </w:r>
    </w:p>
    <w:p>
      <w:pPr>
        <w:widowControl w:val="0"/>
        <w:ind w:firstLine="480"/>
        <w:jc w:val="left"/>
        <w:rPr>
          <w:rFonts w:asciiTheme="minorEastAsia" w:hAnsiTheme="minorEastAsia" w:cstheme="minorBidi"/>
        </w:rPr>
      </w:pPr>
      <w:r>
        <w:rPr>
          <w:rFonts w:hint="eastAsia" w:asciiTheme="minorEastAsia" w:hAnsiTheme="minorEastAsia" w:cstheme="minorBidi"/>
        </w:rPr>
        <w:t>（二）负责收集供应商商品安全认证材料安全技术说明书等安全证明材料，并建立台账；</w:t>
      </w:r>
    </w:p>
    <w:p>
      <w:pPr>
        <w:widowControl w:val="0"/>
        <w:ind w:firstLine="480"/>
        <w:rPr>
          <w:rFonts w:asciiTheme="minorEastAsia" w:hAnsiTheme="minorEastAsia" w:cstheme="minorBidi"/>
        </w:rPr>
      </w:pPr>
      <w:r>
        <w:rPr>
          <w:rFonts w:hint="eastAsia" w:asciiTheme="minorEastAsia" w:hAnsiTheme="minorEastAsia" w:cstheme="minorBidi"/>
        </w:rPr>
        <w:t>（三）所采购的劳保用品必须符合规范和标准要求，确保劳保用品合格率</w:t>
      </w:r>
      <w:r>
        <w:t>100</w:t>
      </w:r>
      <w:r>
        <w:rPr>
          <w:rFonts w:hint="eastAsia" w:asciiTheme="minorEastAsia" w:hAnsiTheme="minorEastAsia" w:cstheme="minorBidi"/>
        </w:rPr>
        <w:t>％；</w:t>
      </w:r>
    </w:p>
    <w:p>
      <w:pPr>
        <w:widowControl w:val="0"/>
        <w:ind w:firstLine="480"/>
        <w:rPr>
          <w:rFonts w:asciiTheme="minorEastAsia" w:hAnsiTheme="minorEastAsia" w:cstheme="minorBidi"/>
        </w:rPr>
      </w:pPr>
      <w:r>
        <w:rPr>
          <w:rFonts w:hint="eastAsia" w:asciiTheme="minorEastAsia" w:hAnsiTheme="minorEastAsia" w:cstheme="minorBidi"/>
        </w:rPr>
        <w:t>（四）把已批准的安全设施所用材料列入采购计划，及时采购和供应。</w:t>
      </w:r>
    </w:p>
    <w:p>
      <w:pPr>
        <w:widowControl w:val="0"/>
        <w:ind w:firstLine="482"/>
        <w:rPr>
          <w:rFonts w:asciiTheme="minorEastAsia" w:hAnsiTheme="minorEastAsia" w:cstheme="minorBidi"/>
        </w:rPr>
      </w:pPr>
      <w:r>
        <w:rPr>
          <w:rFonts w:hint="eastAsia" w:asciiTheme="minorEastAsia" w:hAnsiTheme="minorEastAsia" w:cstheme="minorBidi"/>
          <w:b/>
        </w:rPr>
        <w:t xml:space="preserve">第十一条 </w:t>
      </w:r>
      <w:r>
        <w:rPr>
          <w:rFonts w:hint="eastAsia" w:asciiTheme="minorEastAsia" w:hAnsiTheme="minorEastAsia" w:cstheme="minorBidi"/>
        </w:rPr>
        <w:t>合约部安全生产职责</w:t>
      </w:r>
    </w:p>
    <w:p>
      <w:pPr>
        <w:widowControl w:val="0"/>
        <w:ind w:firstLine="480"/>
        <w:rPr>
          <w:rFonts w:asciiTheme="minorEastAsia" w:hAnsiTheme="minorEastAsia" w:cstheme="minorBidi"/>
        </w:rPr>
      </w:pPr>
      <w:r>
        <w:rPr>
          <w:rFonts w:hint="eastAsia" w:asciiTheme="minorEastAsia" w:hAnsiTheme="minorEastAsia" w:cstheme="minorBidi"/>
        </w:rPr>
        <w:t>（一）认真贯彻执行国家有关安全生产方针、政策、法规和规章制度；</w:t>
      </w:r>
    </w:p>
    <w:p>
      <w:pPr>
        <w:widowControl w:val="0"/>
        <w:ind w:firstLine="480"/>
        <w:rPr>
          <w:rFonts w:asciiTheme="minorEastAsia" w:hAnsiTheme="minorEastAsia" w:cstheme="minorBidi"/>
        </w:rPr>
      </w:pPr>
      <w:r>
        <w:rPr>
          <w:rFonts w:hint="eastAsia" w:asciiTheme="minorEastAsia" w:hAnsiTheme="minorEastAsia" w:cstheme="minorBidi"/>
        </w:rPr>
        <w:t>（二）将建设工程项目各项安全生产费用，按制度列入合同价款之内；协助进行安全生产费用使用情况的审查；</w:t>
      </w:r>
    </w:p>
    <w:p>
      <w:pPr>
        <w:widowControl w:val="0"/>
        <w:ind w:firstLine="480"/>
        <w:rPr>
          <w:rFonts w:asciiTheme="minorEastAsia" w:hAnsiTheme="minorEastAsia" w:cstheme="minorBidi"/>
        </w:rPr>
      </w:pPr>
      <w:r>
        <w:rPr>
          <w:rFonts w:hint="eastAsia" w:asciiTheme="minorEastAsia" w:hAnsiTheme="minorEastAsia" w:cstheme="minorBidi"/>
        </w:rPr>
        <w:t>（三）对没有安全内容的合同应予以重新修订。</w:t>
      </w:r>
    </w:p>
    <w:p>
      <w:pPr>
        <w:widowControl w:val="0"/>
        <w:ind w:firstLine="482"/>
        <w:rPr>
          <w:rFonts w:asciiTheme="minorEastAsia" w:hAnsiTheme="minorEastAsia" w:cstheme="minorBidi"/>
          <w:highlight w:val="yellow"/>
        </w:rPr>
      </w:pPr>
      <w:bookmarkStart w:id="19" w:name="_Hlk524969286"/>
      <w:r>
        <w:rPr>
          <w:rFonts w:hint="eastAsia" w:asciiTheme="minorEastAsia" w:hAnsiTheme="minorEastAsia" w:cstheme="minorBidi"/>
          <w:b/>
        </w:rPr>
        <w:t>第十二条</w:t>
      </w:r>
      <w:r>
        <w:rPr>
          <w:rFonts w:hint="eastAsia" w:asciiTheme="minorEastAsia" w:hAnsiTheme="minorEastAsia" w:cstheme="minorBidi"/>
        </w:rPr>
        <w:t xml:space="preserve"> 综合办公室安全生产职责</w:t>
      </w:r>
    </w:p>
    <w:bookmarkEnd w:id="19"/>
    <w:p>
      <w:pPr>
        <w:widowControl w:val="0"/>
        <w:ind w:firstLine="480"/>
        <w:rPr>
          <w:rFonts w:asciiTheme="minorEastAsia" w:hAnsiTheme="minorEastAsia" w:cstheme="minorBidi"/>
        </w:rPr>
      </w:pPr>
      <w:r>
        <w:rPr>
          <w:rFonts w:hint="eastAsia" w:asciiTheme="minorEastAsia" w:hAnsiTheme="minorEastAsia" w:cstheme="minorBidi"/>
        </w:rPr>
        <w:t>（一）负责组织转发上级部门有关安全生产的文件、资料；</w:t>
      </w:r>
    </w:p>
    <w:p>
      <w:pPr>
        <w:widowControl w:val="0"/>
        <w:ind w:firstLine="480"/>
        <w:rPr>
          <w:rFonts w:asciiTheme="minorEastAsia" w:hAnsiTheme="minorEastAsia" w:cstheme="minorBidi"/>
        </w:rPr>
      </w:pPr>
      <w:r>
        <w:rPr>
          <w:rFonts w:hint="eastAsia" w:asciiTheme="minorEastAsia" w:hAnsiTheme="minorEastAsia" w:cstheme="minorBidi"/>
        </w:rPr>
        <w:t>（二）负责上级安全生产监督管理等有关部门来总承包项目部检查安全工作的组织协调；负责协助总承包项目部安全生产主管部门与外单位间有关安全生产工作的协调；</w:t>
      </w:r>
    </w:p>
    <w:p>
      <w:pPr>
        <w:widowControl w:val="0"/>
        <w:ind w:firstLine="480"/>
        <w:rPr>
          <w:rFonts w:asciiTheme="minorEastAsia" w:hAnsiTheme="minorEastAsia" w:cstheme="minorBidi"/>
        </w:rPr>
      </w:pPr>
      <w:r>
        <w:rPr>
          <w:rFonts w:hint="eastAsia" w:asciiTheme="minorEastAsia" w:hAnsiTheme="minorEastAsia" w:cstheme="minorBidi"/>
        </w:rPr>
        <w:t>（三）会同安质环保部做好总承包项目部安全宣传及安全文化建设；</w:t>
      </w:r>
    </w:p>
    <w:p>
      <w:pPr>
        <w:widowControl w:val="0"/>
        <w:ind w:firstLine="480"/>
        <w:rPr>
          <w:rFonts w:asciiTheme="minorEastAsia" w:hAnsiTheme="minorEastAsia" w:cstheme="minorBidi"/>
        </w:rPr>
      </w:pPr>
      <w:r>
        <w:rPr>
          <w:rFonts w:hint="eastAsia" w:asciiTheme="minorEastAsia" w:hAnsiTheme="minorEastAsia" w:cstheme="minorBidi"/>
        </w:rPr>
        <w:t>（四）负责总承包项目部所属机动车辆的安全监督管理工作；</w:t>
      </w:r>
    </w:p>
    <w:p>
      <w:pPr>
        <w:widowControl w:val="0"/>
        <w:ind w:firstLine="480"/>
        <w:rPr>
          <w:rFonts w:asciiTheme="minorEastAsia" w:hAnsiTheme="minorEastAsia" w:cstheme="minorBidi"/>
        </w:rPr>
      </w:pPr>
      <w:r>
        <w:rPr>
          <w:rFonts w:hint="eastAsia" w:asciiTheme="minorEastAsia" w:hAnsiTheme="minorEastAsia" w:cstheme="minorBidi"/>
        </w:rPr>
        <w:t>（五）做好事故应急救援的协调工作，参与总承包项目部生产安全责任事故的调查、 分析和善后处理；</w:t>
      </w:r>
    </w:p>
    <w:p>
      <w:pPr>
        <w:widowControl w:val="0"/>
        <w:ind w:firstLine="480"/>
        <w:rPr>
          <w:rFonts w:asciiTheme="minorEastAsia" w:hAnsiTheme="minorEastAsia" w:cstheme="minorBidi"/>
        </w:rPr>
      </w:pPr>
      <w:r>
        <w:rPr>
          <w:rFonts w:hint="eastAsia" w:asciiTheme="minorEastAsia" w:hAnsiTheme="minorEastAsia" w:cstheme="minorBidi"/>
        </w:rPr>
        <w:t>（六）组织开展总承包项目部办公场所各类设施的安全检查，监督物业等相关单位做好安全生产保障工作，负责公司后勤、消防、保卫等安全管理工作的落实。</w:t>
      </w:r>
    </w:p>
    <w:p>
      <w:pPr>
        <w:widowControl w:val="0"/>
        <w:ind w:firstLine="482"/>
        <w:rPr>
          <w:rFonts w:asciiTheme="minorEastAsia" w:hAnsiTheme="minorEastAsia" w:cstheme="minorBidi"/>
          <w:highlight w:val="yellow"/>
        </w:rPr>
      </w:pPr>
      <w:r>
        <w:rPr>
          <w:rFonts w:hint="eastAsia" w:asciiTheme="minorEastAsia" w:hAnsiTheme="minorEastAsia" w:cstheme="minorBidi"/>
          <w:b/>
        </w:rPr>
        <w:t>第十三条</w:t>
      </w:r>
      <w:r>
        <w:rPr>
          <w:rFonts w:hint="eastAsia" w:asciiTheme="minorEastAsia" w:hAnsiTheme="minorEastAsia" w:cstheme="minorBidi"/>
        </w:rPr>
        <w:t xml:space="preserve"> 对外协调部安全生产职责</w:t>
      </w:r>
    </w:p>
    <w:p>
      <w:pPr>
        <w:widowControl w:val="0"/>
        <w:adjustRightInd w:val="0"/>
        <w:ind w:firstLine="480"/>
        <w:rPr>
          <w:rFonts w:asciiTheme="minorEastAsia" w:hAnsiTheme="minorEastAsia" w:cstheme="minorBidi"/>
        </w:rPr>
      </w:pPr>
      <w:r>
        <w:rPr>
          <w:rFonts w:hint="eastAsia" w:asciiTheme="minorEastAsia" w:hAnsiTheme="minorEastAsia" w:cstheme="minorBidi"/>
        </w:rPr>
        <w:t>（一）认真学习和自觉遵守国家有关安全生产法律、法规及总承包项目部安全生产管理制度、安全操作规程，对本岗位的安全生产负直接责任；</w:t>
      </w:r>
    </w:p>
    <w:p>
      <w:pPr>
        <w:widowControl w:val="0"/>
        <w:adjustRightInd w:val="0"/>
        <w:ind w:firstLine="480"/>
        <w:rPr>
          <w:rFonts w:asciiTheme="minorEastAsia" w:hAnsiTheme="minorEastAsia" w:cstheme="minorBidi"/>
        </w:rPr>
      </w:pPr>
      <w:r>
        <w:rPr>
          <w:rFonts w:hint="eastAsia" w:asciiTheme="minorEastAsia" w:hAnsiTheme="minorEastAsia" w:cstheme="minorBidi"/>
        </w:rPr>
        <w:t>（二）严格履行本职工作范围内的安全生产职责；</w:t>
      </w:r>
    </w:p>
    <w:p>
      <w:pPr>
        <w:widowControl w:val="0"/>
        <w:adjustRightInd w:val="0"/>
        <w:ind w:firstLine="480"/>
        <w:rPr>
          <w:rFonts w:asciiTheme="minorEastAsia" w:hAnsiTheme="minorEastAsia" w:cstheme="minorBidi"/>
        </w:rPr>
      </w:pPr>
      <w:r>
        <w:rPr>
          <w:rFonts w:hint="eastAsia" w:asciiTheme="minorEastAsia" w:hAnsiTheme="minorEastAsia" w:cstheme="minorBidi"/>
        </w:rPr>
        <w:t>（三）进入生产现场，正确佩戴、合理使用个体防护装备，遵守总承包项目部相关安全生产规章制度；</w:t>
      </w:r>
    </w:p>
    <w:p>
      <w:pPr>
        <w:widowControl w:val="0"/>
        <w:adjustRightInd w:val="0"/>
        <w:ind w:firstLine="480"/>
        <w:rPr>
          <w:rFonts w:asciiTheme="minorEastAsia" w:hAnsiTheme="minorEastAsia" w:cstheme="minorBidi"/>
        </w:rPr>
      </w:pPr>
      <w:r>
        <w:rPr>
          <w:rFonts w:hint="eastAsia" w:asciiTheme="minorEastAsia" w:hAnsiTheme="minorEastAsia" w:cstheme="minorBidi"/>
        </w:rPr>
        <w:t>（四）积极参加总承包项目部及本部门组织的安全生产教育和培训等各种活动，参与总承包项目部组织的应急救援演练；</w:t>
      </w:r>
    </w:p>
    <w:p>
      <w:pPr>
        <w:widowControl w:val="0"/>
        <w:adjustRightInd w:val="0"/>
        <w:ind w:firstLine="480"/>
        <w:rPr>
          <w:rFonts w:asciiTheme="minorEastAsia" w:hAnsiTheme="minorEastAsia" w:cstheme="minorBidi"/>
        </w:rPr>
      </w:pPr>
      <w:r>
        <w:rPr>
          <w:rFonts w:hint="eastAsia" w:asciiTheme="minorEastAsia" w:hAnsiTheme="minorEastAsia" w:cstheme="minorBidi"/>
        </w:rPr>
        <w:t>（五）发现生产中的违章违规行为要及时制止；</w:t>
      </w:r>
    </w:p>
    <w:p>
      <w:pPr>
        <w:widowControl w:val="0"/>
        <w:adjustRightInd w:val="0"/>
        <w:ind w:firstLine="480"/>
        <w:rPr>
          <w:rFonts w:asciiTheme="minorEastAsia" w:hAnsiTheme="minorEastAsia" w:cstheme="minorBidi"/>
        </w:rPr>
      </w:pPr>
      <w:r>
        <w:rPr>
          <w:rFonts w:hint="eastAsia" w:asciiTheme="minorEastAsia" w:hAnsiTheme="minorEastAsia" w:cstheme="minorBidi"/>
        </w:rPr>
        <w:t>（六）督促自己所管业务范围危险源的安全管理措施的有效落实；</w:t>
      </w:r>
    </w:p>
    <w:p>
      <w:pPr>
        <w:widowControl w:val="0"/>
        <w:adjustRightInd w:val="0"/>
        <w:ind w:firstLine="480"/>
        <w:rPr>
          <w:rFonts w:asciiTheme="minorEastAsia" w:hAnsiTheme="minorEastAsia" w:cstheme="minorBidi"/>
        </w:rPr>
      </w:pPr>
      <w:r>
        <w:rPr>
          <w:rFonts w:hint="eastAsia" w:asciiTheme="minorEastAsia" w:hAnsiTheme="minorEastAsia" w:cstheme="minorBidi"/>
        </w:rPr>
        <w:t>（七）发生事故要果断、正确处理，及时如实地向总承包项目部领导报告，保护好现场，并积极参加事故抢险。</w:t>
      </w:r>
    </w:p>
    <w:p>
      <w:pPr>
        <w:pStyle w:val="3"/>
        <w:widowControl w:val="0"/>
        <w:adjustRightInd w:val="0"/>
      </w:pPr>
      <w:bookmarkStart w:id="20" w:name="_Toc31711"/>
      <w:bookmarkStart w:id="21" w:name="_Toc10907"/>
      <w:bookmarkStart w:id="22" w:name="_Toc441389420"/>
      <w:bookmarkStart w:id="23" w:name="_Toc438135763"/>
      <w:bookmarkStart w:id="24" w:name="_Toc510164272"/>
      <w:bookmarkStart w:id="25" w:name="_Hlk524968972"/>
      <w:r>
        <w:rPr>
          <w:rFonts w:hint="eastAsia"/>
        </w:rPr>
        <w:t>第四章 主要领导安全生产责任</w:t>
      </w:r>
      <w:bookmarkEnd w:id="20"/>
      <w:bookmarkEnd w:id="21"/>
      <w:bookmarkEnd w:id="22"/>
      <w:bookmarkEnd w:id="23"/>
      <w:bookmarkEnd w:id="24"/>
    </w:p>
    <w:bookmarkEnd w:id="25"/>
    <w:p>
      <w:pPr>
        <w:widowControl w:val="0"/>
        <w:adjustRightInd w:val="0"/>
        <w:ind w:firstLine="472" w:firstLineChars="196"/>
        <w:rPr>
          <w:rFonts w:asciiTheme="minorEastAsia" w:hAnsiTheme="minorEastAsia"/>
          <w:bCs/>
        </w:rPr>
      </w:pPr>
      <w:bookmarkStart w:id="26" w:name="_Hlk524969723"/>
      <w:bookmarkStart w:id="27" w:name="_Toc441389422"/>
      <w:bookmarkStart w:id="28" w:name="_Toc438135765"/>
      <w:r>
        <w:rPr>
          <w:rFonts w:hint="eastAsia" w:asciiTheme="minorEastAsia" w:hAnsiTheme="minorEastAsia"/>
          <w:b/>
        </w:rPr>
        <w:t xml:space="preserve">第十四条 </w:t>
      </w:r>
      <w:r>
        <w:rPr>
          <w:rFonts w:hint="eastAsia" w:asciiTheme="minorEastAsia" w:hAnsiTheme="minorEastAsia"/>
          <w:bCs/>
        </w:rPr>
        <w:t>项目经理（项目负责人）</w:t>
      </w:r>
      <w:r>
        <w:rPr>
          <w:rFonts w:hint="eastAsia" w:asciiTheme="minorEastAsia" w:hAnsiTheme="minorEastAsia"/>
          <w:bCs/>
          <w:lang w:eastAsia="zh-CN"/>
        </w:rPr>
        <w:t>安全生产</w:t>
      </w:r>
      <w:r>
        <w:rPr>
          <w:rFonts w:hint="eastAsia" w:asciiTheme="minorEastAsia" w:hAnsiTheme="minorEastAsia"/>
          <w:bCs/>
        </w:rPr>
        <w:t>职责</w:t>
      </w:r>
    </w:p>
    <w:bookmarkEnd w:id="26"/>
    <w:p>
      <w:pPr>
        <w:widowControl w:val="0"/>
        <w:adjustRightInd w:val="0"/>
        <w:ind w:firstLine="480"/>
        <w:rPr>
          <w:rFonts w:asciiTheme="minorEastAsia" w:hAnsiTheme="minorEastAsia"/>
        </w:rPr>
      </w:pPr>
      <w:r>
        <w:rPr>
          <w:rFonts w:hint="eastAsia" w:asciiTheme="minorEastAsia" w:hAnsiTheme="minorEastAsia"/>
        </w:rPr>
        <w:t>（一）工程项目经理（项目负责人）是项目工程安全生产的第一责任人，对工程项目的安全生产负全面领导责任；</w:t>
      </w:r>
    </w:p>
    <w:p>
      <w:pPr>
        <w:widowControl w:val="0"/>
        <w:adjustRightInd w:val="0"/>
        <w:ind w:firstLine="480"/>
        <w:rPr>
          <w:rFonts w:asciiTheme="minorEastAsia" w:hAnsiTheme="minorEastAsia"/>
        </w:rPr>
      </w:pPr>
      <w:r>
        <w:rPr>
          <w:rFonts w:hint="eastAsia" w:asciiTheme="minorEastAsia" w:hAnsiTheme="minorEastAsia"/>
        </w:rPr>
        <w:t>（二）认真贯彻落实国家、政府有关安全生产的方针、政策、法律、法规及公司有关安全生产的规章制度，及时传达落实上级部门对当前安全生产的指示或会议精神。确保项目安全生产和文明施工管理达标；</w:t>
      </w:r>
    </w:p>
    <w:p>
      <w:pPr>
        <w:widowControl w:val="0"/>
        <w:adjustRightInd w:val="0"/>
        <w:ind w:firstLine="480"/>
        <w:rPr>
          <w:rFonts w:asciiTheme="minorEastAsia" w:hAnsiTheme="minorEastAsia"/>
        </w:rPr>
      </w:pPr>
      <w:r>
        <w:rPr>
          <w:rFonts w:hint="eastAsia" w:asciiTheme="minorEastAsia" w:hAnsiTheme="minorEastAsia"/>
        </w:rPr>
        <w:t>（三）负责建立和完善工程项目安全生产管理组织体系，成立项目安全生产与文明施工领导小组，并领导其有效运行；</w:t>
      </w:r>
    </w:p>
    <w:p>
      <w:pPr>
        <w:widowControl w:val="0"/>
        <w:adjustRightInd w:val="0"/>
        <w:ind w:firstLine="480"/>
        <w:rPr>
          <w:rFonts w:asciiTheme="minorEastAsia" w:hAnsiTheme="minorEastAsia"/>
        </w:rPr>
      </w:pPr>
      <w:r>
        <w:rPr>
          <w:rFonts w:hint="eastAsia" w:asciiTheme="minorEastAsia" w:hAnsiTheme="minorEastAsia"/>
        </w:rPr>
        <w:t>（四）组织编制施工安全生产措施计划，将安全防护设备、设施，安全技术措施费用等纳入计划。确保工程项目为安全生产所需经费的合理投入；</w:t>
      </w:r>
    </w:p>
    <w:p>
      <w:pPr>
        <w:widowControl w:val="0"/>
        <w:adjustRightInd w:val="0"/>
        <w:ind w:firstLine="480"/>
        <w:rPr>
          <w:rFonts w:asciiTheme="minorEastAsia" w:hAnsiTheme="minorEastAsia"/>
        </w:rPr>
      </w:pPr>
      <w:r>
        <w:rPr>
          <w:rFonts w:hint="eastAsia" w:asciiTheme="minorEastAsia" w:hAnsiTheme="minorEastAsia"/>
        </w:rPr>
        <w:t>（五）主持审查本项目的安全生产文明施工目标、指标、保证措施、安全技术措施及重大危险源、重大环境因素监控措施，申报批准后负责组织贯彻落实。</w:t>
      </w:r>
    </w:p>
    <w:p>
      <w:pPr>
        <w:widowControl w:val="0"/>
        <w:adjustRightInd w:val="0"/>
        <w:ind w:firstLine="480"/>
        <w:rPr>
          <w:rFonts w:asciiTheme="minorEastAsia" w:hAnsiTheme="minorEastAsia"/>
        </w:rPr>
      </w:pPr>
      <w:r>
        <w:rPr>
          <w:rFonts w:hint="eastAsia" w:asciiTheme="minorEastAsia" w:hAnsiTheme="minorEastAsia"/>
        </w:rPr>
        <w:t>（六）定期组织召开安全专题会议和每周的项目安全生产例会，认真研究本项目安全生产形势，解决安全生产中存在的问题，对检查出的问题隐患，采取有效措施，按“三定”原则积极组织整改；</w:t>
      </w:r>
    </w:p>
    <w:p>
      <w:pPr>
        <w:widowControl w:val="0"/>
        <w:adjustRightInd w:val="0"/>
        <w:ind w:firstLine="480"/>
        <w:rPr>
          <w:rFonts w:asciiTheme="minorEastAsia" w:hAnsiTheme="minorEastAsia"/>
        </w:rPr>
      </w:pPr>
      <w:r>
        <w:rPr>
          <w:rFonts w:hint="eastAsia" w:asciiTheme="minorEastAsia" w:hAnsiTheme="minorEastAsia"/>
        </w:rPr>
        <w:t>（七）组织并参加项目定期的</w:t>
      </w:r>
      <w:r>
        <w:fldChar w:fldCharType="begin"/>
      </w:r>
      <w:r>
        <w:instrText xml:space="preserve"> HYPERLINK "http://www.themanage.cn/mm/aqgl/" \t "_blank" </w:instrText>
      </w:r>
      <w:r>
        <w:fldChar w:fldCharType="separate"/>
      </w:r>
      <w:r>
        <w:rPr>
          <w:rStyle w:val="26"/>
          <w:rFonts w:hint="eastAsia" w:asciiTheme="minorEastAsia" w:hAnsiTheme="minorEastAsia"/>
          <w:color w:val="auto"/>
          <w:u w:val="none"/>
        </w:rPr>
        <w:t>安全</w:t>
      </w:r>
      <w:r>
        <w:rPr>
          <w:rStyle w:val="26"/>
          <w:rFonts w:hint="eastAsia" w:asciiTheme="minorEastAsia" w:hAnsiTheme="minorEastAsia"/>
          <w:color w:val="auto"/>
          <w:u w:val="none"/>
        </w:rPr>
        <w:fldChar w:fldCharType="end"/>
      </w:r>
      <w:r>
        <w:rPr>
          <w:rFonts w:hint="eastAsia" w:asciiTheme="minorEastAsia" w:hAnsiTheme="minorEastAsia"/>
        </w:rPr>
        <w:t>生产、文明施工检查，落实隐患整改，并</w:t>
      </w:r>
    </w:p>
    <w:p>
      <w:pPr>
        <w:widowControl w:val="0"/>
        <w:adjustRightInd w:val="0"/>
        <w:ind w:firstLine="0" w:firstLineChars="0"/>
        <w:rPr>
          <w:rFonts w:asciiTheme="minorEastAsia" w:hAnsiTheme="minorEastAsia"/>
        </w:rPr>
      </w:pPr>
      <w:r>
        <w:rPr>
          <w:rFonts w:hint="eastAsia" w:asciiTheme="minorEastAsia" w:hAnsiTheme="minorEastAsia"/>
        </w:rPr>
        <w:t>对检查结果进行书面通报，监督整改，检查整改结果。保证生产设备、</w:t>
      </w:r>
      <w:r>
        <w:fldChar w:fldCharType="begin"/>
      </w:r>
      <w:r>
        <w:instrText xml:space="preserve"> HYPERLINK "http://www.themanage.cn/mm/aqgl/" \t "_blank" </w:instrText>
      </w:r>
      <w:r>
        <w:fldChar w:fldCharType="separate"/>
      </w:r>
      <w:r>
        <w:rPr>
          <w:rStyle w:val="26"/>
          <w:rFonts w:hint="eastAsia" w:asciiTheme="minorEastAsia" w:hAnsiTheme="minorEastAsia"/>
          <w:color w:val="auto"/>
          <w:u w:val="none"/>
        </w:rPr>
        <w:t>安全</w:t>
      </w:r>
      <w:r>
        <w:rPr>
          <w:rStyle w:val="26"/>
          <w:rFonts w:hint="eastAsia" w:asciiTheme="minorEastAsia" w:hAnsiTheme="minorEastAsia"/>
          <w:color w:val="auto"/>
          <w:u w:val="none"/>
        </w:rPr>
        <w:fldChar w:fldCharType="end"/>
      </w:r>
      <w:r>
        <w:rPr>
          <w:rFonts w:hint="eastAsia" w:asciiTheme="minorEastAsia" w:hAnsiTheme="minorEastAsia"/>
        </w:rPr>
        <w:t>装置、</w:t>
      </w:r>
      <w:r>
        <w:fldChar w:fldCharType="begin"/>
      </w:r>
      <w:r>
        <w:instrText xml:space="preserve"> HYPERLINK "http://www.themanage.cn/ziliao/xingzhengguanli/xiaofang/" \t "_blank" </w:instrText>
      </w:r>
      <w:r>
        <w:fldChar w:fldCharType="separate"/>
      </w:r>
      <w:r>
        <w:rPr>
          <w:rStyle w:val="26"/>
          <w:rFonts w:hint="eastAsia" w:asciiTheme="minorEastAsia" w:hAnsiTheme="minorEastAsia"/>
          <w:color w:val="auto"/>
          <w:u w:val="none"/>
        </w:rPr>
        <w:t>消防</w:t>
      </w:r>
      <w:r>
        <w:rPr>
          <w:rStyle w:val="26"/>
          <w:rFonts w:hint="eastAsia" w:asciiTheme="minorEastAsia" w:hAnsiTheme="minorEastAsia"/>
          <w:color w:val="auto"/>
          <w:u w:val="none"/>
        </w:rPr>
        <w:fldChar w:fldCharType="end"/>
      </w:r>
      <w:r>
        <w:rPr>
          <w:rFonts w:hint="eastAsia" w:asciiTheme="minorEastAsia" w:hAnsiTheme="minorEastAsia"/>
        </w:rPr>
        <w:t>设施、防护器材和急救器具等处于完好状态；</w:t>
      </w:r>
    </w:p>
    <w:p>
      <w:pPr>
        <w:widowControl w:val="0"/>
        <w:adjustRightInd w:val="0"/>
        <w:ind w:firstLine="480"/>
        <w:rPr>
          <w:rFonts w:asciiTheme="minorEastAsia" w:hAnsiTheme="minorEastAsia"/>
        </w:rPr>
      </w:pPr>
      <w:r>
        <w:rPr>
          <w:rFonts w:hint="eastAsia" w:asciiTheme="minorEastAsia" w:hAnsiTheme="minorEastAsia"/>
        </w:rPr>
        <w:t>（八）组织和督促项目副经理、技术负责人、安全总监、安全员对本项目的作业人员进行安全技术交底和安全生产教育，主持开展安全生产经验交流会及安全竞赛活动，对作业人员进行劳动安全奖惩；</w:t>
      </w:r>
    </w:p>
    <w:p>
      <w:pPr>
        <w:widowControl w:val="0"/>
        <w:adjustRightInd w:val="0"/>
        <w:ind w:firstLine="480"/>
        <w:rPr>
          <w:rFonts w:asciiTheme="minorEastAsia" w:hAnsiTheme="minorEastAsia"/>
        </w:rPr>
      </w:pPr>
      <w:r>
        <w:rPr>
          <w:rFonts w:hint="eastAsia" w:asciiTheme="minorEastAsia" w:hAnsiTheme="minorEastAsia"/>
        </w:rPr>
        <w:t>（九）组织项目部及时整改业主、上级部门提出的问题，支持项目技术负责人、安全总监及安全员等人的工作，使之有职有权，使安全生产处于受控状态；</w:t>
      </w:r>
    </w:p>
    <w:p>
      <w:pPr>
        <w:widowControl w:val="0"/>
        <w:adjustRightInd w:val="0"/>
        <w:ind w:firstLine="480"/>
        <w:rPr>
          <w:rFonts w:asciiTheme="minorEastAsia" w:hAnsiTheme="minorEastAsia"/>
        </w:rPr>
      </w:pPr>
      <w:r>
        <w:rPr>
          <w:rFonts w:hint="eastAsia" w:asciiTheme="minorEastAsia" w:hAnsiTheme="minorEastAsia"/>
        </w:rPr>
        <w:t>（十）及时报告项目发生的</w:t>
      </w:r>
      <w:r>
        <w:fldChar w:fldCharType="begin"/>
      </w:r>
      <w:r>
        <w:instrText xml:space="preserve"> HYPERLINK "http://www.themanage.cn/mm/aqgl/" \t "_blank" </w:instrText>
      </w:r>
      <w:r>
        <w:fldChar w:fldCharType="separate"/>
      </w:r>
      <w:r>
        <w:rPr>
          <w:rStyle w:val="26"/>
          <w:rFonts w:hint="eastAsia" w:asciiTheme="minorEastAsia" w:hAnsiTheme="minorEastAsia"/>
          <w:color w:val="auto"/>
          <w:u w:val="none"/>
        </w:rPr>
        <w:t>安全</w:t>
      </w:r>
      <w:r>
        <w:rPr>
          <w:rStyle w:val="26"/>
          <w:rFonts w:hint="eastAsia" w:asciiTheme="minorEastAsia" w:hAnsiTheme="minorEastAsia"/>
          <w:color w:val="auto"/>
          <w:u w:val="none"/>
        </w:rPr>
        <w:fldChar w:fldCharType="end"/>
      </w:r>
      <w:r>
        <w:rPr>
          <w:rFonts w:hint="eastAsia" w:asciiTheme="minorEastAsia" w:hAnsiTheme="minorEastAsia"/>
        </w:rPr>
        <w:t>事故，负责事故现场保护与伤员的抢救工作，配合有关部门进行事故调查和处理。并认真分析事故原因，提出纠正和预防措施并督促整改落实；</w:t>
      </w:r>
    </w:p>
    <w:p>
      <w:pPr>
        <w:widowControl w:val="0"/>
        <w:adjustRightInd w:val="0"/>
        <w:snapToGrid w:val="0"/>
        <w:ind w:firstLine="480"/>
        <w:rPr>
          <w:rFonts w:asciiTheme="minorEastAsia" w:hAnsiTheme="minorEastAsia"/>
        </w:rPr>
      </w:pPr>
      <w:r>
        <w:rPr>
          <w:rFonts w:hint="eastAsia" w:asciiTheme="minorEastAsia" w:hAnsiTheme="minorEastAsia"/>
        </w:rPr>
        <w:t>（十一）组织有关人员做好安全资料的填写、收集、整理、归档等管理工作。</w:t>
      </w:r>
    </w:p>
    <w:p>
      <w:pPr>
        <w:widowControl w:val="0"/>
        <w:adjustRightInd w:val="0"/>
        <w:snapToGrid w:val="0"/>
        <w:ind w:firstLine="472" w:firstLineChars="196"/>
        <w:rPr>
          <w:rFonts w:asciiTheme="minorEastAsia" w:hAnsiTheme="minorEastAsia"/>
          <w:bCs/>
        </w:rPr>
      </w:pPr>
      <w:r>
        <w:rPr>
          <w:rFonts w:hint="eastAsia" w:asciiTheme="minorEastAsia" w:hAnsiTheme="minorEastAsia"/>
          <w:b/>
        </w:rPr>
        <w:t xml:space="preserve">第十五条 </w:t>
      </w:r>
      <w:r>
        <w:rPr>
          <w:rFonts w:hint="eastAsia" w:asciiTheme="minorEastAsia" w:hAnsiTheme="minorEastAsia"/>
          <w:bCs/>
        </w:rPr>
        <w:t>工区负责人</w:t>
      </w:r>
      <w:r>
        <w:rPr>
          <w:rFonts w:hint="eastAsia" w:asciiTheme="minorEastAsia" w:hAnsiTheme="minorEastAsia"/>
          <w:bCs/>
          <w:lang w:eastAsia="zh-CN"/>
        </w:rPr>
        <w:t>安全生产</w:t>
      </w:r>
      <w:r>
        <w:rPr>
          <w:rFonts w:hint="eastAsia" w:asciiTheme="minorEastAsia" w:hAnsiTheme="minorEastAsia"/>
          <w:bCs/>
        </w:rPr>
        <w:t>职责</w:t>
      </w:r>
    </w:p>
    <w:p>
      <w:pPr>
        <w:widowControl w:val="0"/>
        <w:adjustRightInd w:val="0"/>
        <w:snapToGrid w:val="0"/>
        <w:ind w:firstLine="480"/>
        <w:rPr>
          <w:rFonts w:asciiTheme="minorEastAsia" w:hAnsiTheme="minorEastAsia"/>
        </w:rPr>
      </w:pPr>
      <w:r>
        <w:rPr>
          <w:rFonts w:hint="eastAsia" w:asciiTheme="minorEastAsia" w:hAnsiTheme="minorEastAsia"/>
        </w:rPr>
        <w:t>（一）工区负责人是本工区安全生产的第一责任人，对工区负责的工程项目安全生产负全面领导责任；</w:t>
      </w:r>
    </w:p>
    <w:p>
      <w:pPr>
        <w:widowControl w:val="0"/>
        <w:adjustRightInd w:val="0"/>
        <w:snapToGrid w:val="0"/>
        <w:ind w:firstLine="480"/>
        <w:rPr>
          <w:rFonts w:asciiTheme="minorEastAsia" w:hAnsiTheme="minorEastAsia"/>
        </w:rPr>
      </w:pPr>
      <w:r>
        <w:rPr>
          <w:rFonts w:hint="eastAsia" w:asciiTheme="minorEastAsia" w:hAnsiTheme="minorEastAsia"/>
        </w:rPr>
        <w:t>（二）认真贯彻落实国家、政府有关安全生产的方针、政策、法律、法规及总承包项目部有关安全生产的规章制度，及时传达落实上级部门对当前安全生产的指示或会议精神，确保项目安全生产和文明施工管理达标；</w:t>
      </w:r>
    </w:p>
    <w:p>
      <w:pPr>
        <w:widowControl w:val="0"/>
        <w:adjustRightInd w:val="0"/>
        <w:snapToGrid w:val="0"/>
        <w:ind w:firstLine="480"/>
        <w:rPr>
          <w:rFonts w:asciiTheme="minorEastAsia" w:hAnsiTheme="minorEastAsia"/>
        </w:rPr>
      </w:pPr>
      <w:r>
        <w:rPr>
          <w:rFonts w:hint="eastAsia" w:asciiTheme="minorEastAsia" w:hAnsiTheme="minorEastAsia"/>
        </w:rPr>
        <w:t>（三）负责建立和完善工程项目安全生产管理组织体系，成立项目安全生产与文明施工领导小组，并领导其有效运行；</w:t>
      </w:r>
    </w:p>
    <w:p>
      <w:pPr>
        <w:widowControl w:val="0"/>
        <w:adjustRightInd w:val="0"/>
        <w:snapToGrid w:val="0"/>
        <w:ind w:firstLine="480"/>
        <w:rPr>
          <w:rFonts w:asciiTheme="minorEastAsia" w:hAnsiTheme="minorEastAsia"/>
        </w:rPr>
      </w:pPr>
      <w:r>
        <w:rPr>
          <w:rFonts w:hint="eastAsia" w:asciiTheme="minorEastAsia" w:hAnsiTheme="minorEastAsia"/>
        </w:rPr>
        <w:t>（四）组织编制施工安全生产措施计划，将安全防护设备、设施，安全技术措施费用等纳入计划。确保工程项目为安全生产所需经费的合理投入；</w:t>
      </w:r>
    </w:p>
    <w:p>
      <w:pPr>
        <w:widowControl w:val="0"/>
        <w:adjustRightInd w:val="0"/>
        <w:snapToGrid w:val="0"/>
        <w:ind w:firstLine="480"/>
        <w:rPr>
          <w:rFonts w:asciiTheme="minorEastAsia" w:hAnsiTheme="minorEastAsia"/>
        </w:rPr>
      </w:pPr>
      <w:r>
        <w:rPr>
          <w:rFonts w:hint="eastAsia" w:asciiTheme="minorEastAsia" w:hAnsiTheme="minorEastAsia"/>
        </w:rPr>
        <w:t>（五）主持审查本项目的安全生产文明施工目标、指标、保证措施、安全技术措施及重大危险源、重大环境因素监控措施，申报批准后负责组织贯彻落实；</w:t>
      </w:r>
    </w:p>
    <w:p>
      <w:pPr>
        <w:widowControl w:val="0"/>
        <w:adjustRightInd w:val="0"/>
        <w:snapToGrid w:val="0"/>
        <w:ind w:firstLine="480"/>
        <w:rPr>
          <w:rFonts w:asciiTheme="minorEastAsia" w:hAnsiTheme="minorEastAsia"/>
        </w:rPr>
      </w:pPr>
      <w:r>
        <w:rPr>
          <w:rFonts w:hint="eastAsia" w:asciiTheme="minorEastAsia" w:hAnsiTheme="minorEastAsia"/>
        </w:rPr>
        <w:t>（六）定期组织召开安全专题会议和每周的项目安全生产例会，认真研究本项目安全生产形势，解决安全生产中存在的问题，对检查出的问题隐患，采取有效措施，按“三定”原则积极组织整改；</w:t>
      </w:r>
    </w:p>
    <w:p>
      <w:pPr>
        <w:widowControl w:val="0"/>
        <w:adjustRightInd w:val="0"/>
        <w:snapToGrid w:val="0"/>
        <w:ind w:firstLine="480"/>
        <w:rPr>
          <w:rFonts w:asciiTheme="minorEastAsia" w:hAnsiTheme="minorEastAsia"/>
        </w:rPr>
      </w:pPr>
      <w:r>
        <w:rPr>
          <w:rFonts w:hint="eastAsia" w:asciiTheme="minorEastAsia" w:hAnsiTheme="minorEastAsia"/>
        </w:rPr>
        <w:t>（七）组织并参加项目定期的安全生产、文明施工检查，落实隐患整改，并对检查结果进行书面通报，监督整改，检查整改结果。保证生产设备、安全装置、消防设施、防护器材和急救器具等处于完好状态；</w:t>
      </w:r>
    </w:p>
    <w:p>
      <w:pPr>
        <w:widowControl w:val="0"/>
        <w:adjustRightInd w:val="0"/>
        <w:snapToGrid w:val="0"/>
        <w:ind w:firstLine="480"/>
        <w:rPr>
          <w:rFonts w:asciiTheme="minorEastAsia" w:hAnsiTheme="minorEastAsia"/>
        </w:rPr>
      </w:pPr>
      <w:r>
        <w:rPr>
          <w:rFonts w:hint="eastAsia" w:asciiTheme="minorEastAsia" w:hAnsiTheme="minorEastAsia"/>
        </w:rPr>
        <w:t>（八）组织和督促工区副经理、技术负责人、安全总监、安全员对本项目的作业人员进行安全技术交底和安全生产教育，主持开展安全生产经验交流会及安全竞赛活动，对作业人员进行劳动安全奖惩；</w:t>
      </w:r>
    </w:p>
    <w:p>
      <w:pPr>
        <w:widowControl w:val="0"/>
        <w:adjustRightInd w:val="0"/>
        <w:snapToGrid w:val="0"/>
        <w:ind w:firstLine="480"/>
        <w:rPr>
          <w:rFonts w:asciiTheme="minorEastAsia" w:hAnsiTheme="minorEastAsia"/>
        </w:rPr>
      </w:pPr>
      <w:r>
        <w:rPr>
          <w:rFonts w:hint="eastAsia" w:asciiTheme="minorEastAsia" w:hAnsiTheme="minorEastAsia"/>
        </w:rPr>
        <w:t>（九）组织工区项目部及时整改业主、上级部门提出的问题，支持本工区的技术负责人、安全总监及安全员等人的工作，使之有职有权，使安全生产处于受控状态；</w:t>
      </w:r>
    </w:p>
    <w:p>
      <w:pPr>
        <w:widowControl w:val="0"/>
        <w:adjustRightInd w:val="0"/>
        <w:snapToGrid w:val="0"/>
        <w:ind w:firstLine="480"/>
        <w:rPr>
          <w:rFonts w:asciiTheme="minorEastAsia" w:hAnsiTheme="minorEastAsia"/>
        </w:rPr>
      </w:pPr>
      <w:r>
        <w:rPr>
          <w:rFonts w:hint="eastAsia" w:asciiTheme="minorEastAsia" w:hAnsiTheme="minorEastAsia"/>
        </w:rPr>
        <w:t>（十）及时报告项目发生的安全事故，负责事故现场保护与伤员的抢救工作，配合有关部门进行事故调查和处理。并认真分析事故原因，提出纠正和预防措施并督促整改落实；</w:t>
      </w:r>
    </w:p>
    <w:p>
      <w:pPr>
        <w:widowControl w:val="0"/>
        <w:adjustRightInd w:val="0"/>
        <w:snapToGrid w:val="0"/>
        <w:ind w:firstLine="480"/>
        <w:rPr>
          <w:rFonts w:asciiTheme="minorEastAsia" w:hAnsiTheme="minorEastAsia"/>
        </w:rPr>
      </w:pPr>
      <w:r>
        <w:rPr>
          <w:rFonts w:hint="eastAsia" w:asciiTheme="minorEastAsia" w:hAnsiTheme="minorEastAsia"/>
        </w:rPr>
        <w:t>（十一）组织有关人员做好安全资料的填写、收集、整理、归档等管理工作；</w:t>
      </w:r>
    </w:p>
    <w:p>
      <w:pPr>
        <w:widowControl w:val="0"/>
        <w:adjustRightInd w:val="0"/>
        <w:snapToGrid w:val="0"/>
        <w:ind w:firstLine="480"/>
        <w:rPr>
          <w:rFonts w:asciiTheme="minorEastAsia" w:hAnsiTheme="minorEastAsia"/>
        </w:rPr>
      </w:pPr>
      <w:r>
        <w:rPr>
          <w:rFonts w:hint="eastAsia" w:asciiTheme="minorEastAsia" w:hAnsiTheme="minorEastAsia"/>
        </w:rPr>
        <w:t>（十二）负责将本工区的安全生产责任制进一步分解，落实到每一个岗位。</w:t>
      </w:r>
    </w:p>
    <w:p>
      <w:pPr>
        <w:widowControl w:val="0"/>
        <w:adjustRightInd w:val="0"/>
        <w:snapToGrid w:val="0"/>
        <w:ind w:firstLine="472" w:firstLineChars="196"/>
        <w:rPr>
          <w:rFonts w:asciiTheme="minorEastAsia" w:hAnsiTheme="minorEastAsia"/>
        </w:rPr>
      </w:pPr>
      <w:r>
        <w:rPr>
          <w:rFonts w:hint="eastAsia" w:asciiTheme="minorEastAsia" w:hAnsiTheme="minorEastAsia"/>
          <w:b/>
          <w:bCs/>
        </w:rPr>
        <w:t xml:space="preserve">第十六条 </w:t>
      </w:r>
      <w:r>
        <w:rPr>
          <w:rFonts w:hint="eastAsia" w:asciiTheme="minorEastAsia" w:hAnsiTheme="minorEastAsia"/>
        </w:rPr>
        <w:t>项目副经理</w:t>
      </w:r>
      <w:r>
        <w:rPr>
          <w:rFonts w:hint="eastAsia" w:asciiTheme="minorEastAsia" w:hAnsiTheme="minorEastAsia"/>
          <w:lang w:eastAsia="zh-CN"/>
        </w:rPr>
        <w:t>安全生产</w:t>
      </w:r>
      <w:r>
        <w:rPr>
          <w:rFonts w:hint="eastAsia" w:asciiTheme="minorEastAsia" w:hAnsiTheme="minorEastAsia"/>
        </w:rPr>
        <w:t>责任</w:t>
      </w:r>
    </w:p>
    <w:p>
      <w:pPr>
        <w:widowControl w:val="0"/>
        <w:adjustRightInd w:val="0"/>
        <w:snapToGrid w:val="0"/>
        <w:ind w:firstLine="480"/>
        <w:rPr>
          <w:rFonts w:asciiTheme="minorEastAsia" w:hAnsiTheme="minorEastAsia"/>
        </w:rPr>
      </w:pPr>
      <w:r>
        <w:rPr>
          <w:rFonts w:hint="eastAsia" w:asciiTheme="minorEastAsia" w:hAnsiTheme="minorEastAsia"/>
        </w:rPr>
        <w:t>（一）项目副经理是所管工程的安全生产直接负责人，要认真执行有关安全生产法律、法规、规范及标准，组织制定、实施工程项目伤亡控制指标、安全达标、文明施工达标率所采取的安全技术措施；</w:t>
      </w:r>
    </w:p>
    <w:p>
      <w:pPr>
        <w:widowControl w:val="0"/>
        <w:adjustRightInd w:val="0"/>
        <w:snapToGrid w:val="0"/>
        <w:ind w:firstLine="480"/>
        <w:rPr>
          <w:rFonts w:asciiTheme="minorEastAsia" w:hAnsiTheme="minorEastAsia"/>
        </w:rPr>
      </w:pPr>
      <w:r>
        <w:rPr>
          <w:rFonts w:hint="eastAsia" w:asciiTheme="minorEastAsia" w:hAnsiTheme="minorEastAsia"/>
        </w:rPr>
        <w:t>（二）负责对分部分项工程进行安全技术交底，并付诸实施，随时制止违章指挥与违章作业行为；</w:t>
      </w:r>
    </w:p>
    <w:p>
      <w:pPr>
        <w:widowControl w:val="0"/>
        <w:adjustRightInd w:val="0"/>
        <w:snapToGrid w:val="0"/>
        <w:ind w:firstLine="480"/>
        <w:rPr>
          <w:rFonts w:asciiTheme="minorEastAsia" w:hAnsiTheme="minorEastAsia"/>
        </w:rPr>
      </w:pPr>
      <w:r>
        <w:rPr>
          <w:rFonts w:hint="eastAsia" w:asciiTheme="minorEastAsia" w:hAnsiTheme="minorEastAsia"/>
        </w:rPr>
        <w:t>（三）配合项目经理监督安全生产、文明施工、安全教育等有关制度、制度的落实情况。在施工进度与安全生产发生矛盾时，负责组织协调各班组的安全生产，并坚持先安全后生产的原则；</w:t>
      </w:r>
    </w:p>
    <w:p>
      <w:pPr>
        <w:widowControl w:val="0"/>
        <w:adjustRightInd w:val="0"/>
        <w:snapToGrid w:val="0"/>
        <w:ind w:firstLine="480"/>
        <w:rPr>
          <w:rFonts w:asciiTheme="minorEastAsia" w:hAnsiTheme="minorEastAsia"/>
        </w:rPr>
      </w:pPr>
      <w:r>
        <w:rPr>
          <w:rFonts w:hint="eastAsia" w:asciiTheme="minorEastAsia" w:hAnsiTheme="minorEastAsia"/>
        </w:rPr>
        <w:t>（四）施工中发生工伤事故要立即上报，保护现场，积极抢救伤员，防止事态扩大，配合事故三不放过等调查工作。</w:t>
      </w:r>
    </w:p>
    <w:p>
      <w:pPr>
        <w:widowControl w:val="0"/>
        <w:adjustRightInd w:val="0"/>
        <w:snapToGrid w:val="0"/>
        <w:ind w:firstLine="482"/>
        <w:rPr>
          <w:rFonts w:asciiTheme="minorEastAsia" w:hAnsiTheme="minorEastAsia"/>
          <w:bCs/>
        </w:rPr>
      </w:pPr>
      <w:r>
        <w:rPr>
          <w:rFonts w:hint="eastAsia" w:asciiTheme="minorEastAsia" w:hAnsiTheme="minorEastAsia"/>
          <w:b/>
        </w:rPr>
        <w:t xml:space="preserve">第十七条 </w:t>
      </w:r>
      <w:r>
        <w:rPr>
          <w:rFonts w:hint="eastAsia" w:asciiTheme="minorEastAsia" w:hAnsiTheme="minorEastAsia"/>
          <w:bCs/>
        </w:rPr>
        <w:t>项目部技术负责人安全生产职责</w:t>
      </w:r>
    </w:p>
    <w:p>
      <w:pPr>
        <w:widowControl w:val="0"/>
        <w:adjustRightInd w:val="0"/>
        <w:snapToGrid w:val="0"/>
        <w:ind w:firstLine="480"/>
        <w:rPr>
          <w:rFonts w:asciiTheme="minorEastAsia" w:hAnsiTheme="minorEastAsia"/>
        </w:rPr>
      </w:pPr>
      <w:r>
        <w:rPr>
          <w:rFonts w:hint="eastAsia" w:asciiTheme="minorEastAsia" w:hAnsiTheme="minorEastAsia"/>
          <w:bCs/>
        </w:rPr>
        <w:t>（一）</w:t>
      </w:r>
      <w:r>
        <w:rPr>
          <w:rFonts w:hint="eastAsia" w:asciiTheme="minorEastAsia" w:hAnsiTheme="minorEastAsia"/>
        </w:rPr>
        <w:t>协助项目经理贯彻执行</w:t>
      </w:r>
      <w:r>
        <w:rPr>
          <w:rFonts w:asciiTheme="minorEastAsia" w:hAnsiTheme="minorEastAsia"/>
        </w:rPr>
        <w:t>国家、地方省市和上级有关</w:t>
      </w:r>
      <w:r>
        <w:rPr>
          <w:rFonts w:hint="eastAsia" w:asciiTheme="minorEastAsia" w:hAnsiTheme="minorEastAsia"/>
        </w:rPr>
        <w:t>安全生产方针、政策、</w:t>
      </w:r>
      <w:r>
        <w:rPr>
          <w:rFonts w:asciiTheme="minorEastAsia" w:hAnsiTheme="minorEastAsia"/>
        </w:rPr>
        <w:t>法律</w:t>
      </w:r>
      <w:r>
        <w:fldChar w:fldCharType="begin"/>
      </w:r>
      <w:r>
        <w:instrText xml:space="preserve"> HYPERLINK "http://www.fdcew.com/fgwk/Index.html" \t "_blank" </w:instrText>
      </w:r>
      <w:r>
        <w:fldChar w:fldCharType="separate"/>
      </w:r>
      <w:r>
        <w:rPr>
          <w:rFonts w:asciiTheme="minorEastAsia" w:hAnsiTheme="minorEastAsia"/>
        </w:rPr>
        <w:t>法规</w:t>
      </w:r>
      <w:r>
        <w:rPr>
          <w:rFonts w:asciiTheme="minorEastAsia" w:hAnsiTheme="minorEastAsia"/>
        </w:rPr>
        <w:fldChar w:fldCharType="end"/>
      </w:r>
      <w:r>
        <w:rPr>
          <w:rFonts w:asciiTheme="minorEastAsia" w:hAnsiTheme="minorEastAsia"/>
        </w:rPr>
        <w:t>、技术</w:t>
      </w:r>
      <w:r>
        <w:fldChar w:fldCharType="begin"/>
      </w:r>
      <w:r>
        <w:instrText xml:space="preserve"> HYPERLINK "http://www.fdcew.com/Soft/kfsj/Index.html" \t "_blank" </w:instrText>
      </w:r>
      <w:r>
        <w:fldChar w:fldCharType="separate"/>
      </w:r>
      <w:r>
        <w:rPr>
          <w:rFonts w:asciiTheme="minorEastAsia" w:hAnsiTheme="minorEastAsia"/>
        </w:rPr>
        <w:t>规范</w:t>
      </w:r>
      <w:r>
        <w:rPr>
          <w:rFonts w:asciiTheme="minorEastAsia" w:hAnsiTheme="minorEastAsia"/>
        </w:rPr>
        <w:fldChar w:fldCharType="end"/>
      </w:r>
      <w:r>
        <w:rPr>
          <w:rFonts w:asciiTheme="minorEastAsia" w:hAnsiTheme="minorEastAsia"/>
        </w:rPr>
        <w:t>、工艺标准</w:t>
      </w:r>
      <w:r>
        <w:rPr>
          <w:rFonts w:hint="eastAsia" w:asciiTheme="minorEastAsia" w:hAnsiTheme="minorEastAsia"/>
        </w:rPr>
        <w:t>和规章制度，对</w:t>
      </w:r>
      <w:r>
        <w:rPr>
          <w:rFonts w:asciiTheme="minorEastAsia" w:hAnsiTheme="minorEastAsia"/>
        </w:rPr>
        <w:t>工程</w:t>
      </w:r>
      <w:r>
        <w:rPr>
          <w:rFonts w:hint="eastAsia" w:asciiTheme="minorEastAsia" w:hAnsiTheme="minorEastAsia"/>
        </w:rPr>
        <w:t>项目的安全技术负直接责任；</w:t>
      </w:r>
    </w:p>
    <w:p>
      <w:pPr>
        <w:widowControl w:val="0"/>
        <w:adjustRightInd w:val="0"/>
        <w:snapToGrid w:val="0"/>
        <w:ind w:firstLine="480"/>
        <w:rPr>
          <w:rFonts w:asciiTheme="minorEastAsia" w:hAnsiTheme="minorEastAsia"/>
        </w:rPr>
      </w:pPr>
      <w:r>
        <w:rPr>
          <w:rFonts w:hint="eastAsia" w:asciiTheme="minorEastAsia" w:hAnsiTheme="minorEastAsia"/>
        </w:rPr>
        <w:t>（二）负责主持工程施工组织设计、临时用电等专项方案及季节性等各项施工安全技术措施的编制报批工作，并组织实施和监督检查；</w:t>
      </w:r>
    </w:p>
    <w:p>
      <w:pPr>
        <w:widowControl w:val="0"/>
        <w:adjustRightInd w:val="0"/>
        <w:snapToGrid w:val="0"/>
        <w:ind w:firstLine="480"/>
        <w:rPr>
          <w:rFonts w:asciiTheme="minorEastAsia" w:hAnsiTheme="minorEastAsia"/>
        </w:rPr>
      </w:pPr>
      <w:r>
        <w:rPr>
          <w:rFonts w:hint="eastAsia" w:asciiTheme="minorEastAsia" w:hAnsiTheme="minorEastAsia"/>
        </w:rPr>
        <w:t>（三）根据批准的施工组织设计（或施工方案）向单位工程施工员、作业队负责人及有关人员进行书面安全技术交底，并监督实施；</w:t>
      </w:r>
    </w:p>
    <w:p>
      <w:pPr>
        <w:widowControl w:val="0"/>
        <w:adjustRightInd w:val="0"/>
        <w:snapToGrid w:val="0"/>
        <w:ind w:firstLine="480"/>
        <w:rPr>
          <w:rFonts w:asciiTheme="minorEastAsia" w:hAnsiTheme="minorEastAsia"/>
        </w:rPr>
      </w:pPr>
      <w:r>
        <w:rPr>
          <w:rFonts w:hint="eastAsia" w:asciiTheme="minorEastAsia" w:hAnsiTheme="minorEastAsia"/>
        </w:rPr>
        <w:t>（四）负责组织作业人员学习有关安全技术规程和规章制度；</w:t>
      </w:r>
    </w:p>
    <w:p>
      <w:pPr>
        <w:widowControl w:val="0"/>
        <w:adjustRightInd w:val="0"/>
        <w:snapToGrid w:val="0"/>
        <w:ind w:firstLine="480"/>
        <w:rPr>
          <w:rFonts w:asciiTheme="minorEastAsia" w:hAnsiTheme="minorEastAsia"/>
        </w:rPr>
      </w:pPr>
      <w:r>
        <w:rPr>
          <w:rFonts w:hint="eastAsia" w:asciiTheme="minorEastAsia" w:hAnsiTheme="minorEastAsia"/>
        </w:rPr>
        <w:t>（五）</w:t>
      </w:r>
      <w:r>
        <w:rPr>
          <w:rFonts w:asciiTheme="minorEastAsia" w:hAnsiTheme="minorEastAsia"/>
        </w:rPr>
        <w:t>对施工中</w:t>
      </w:r>
      <w:r>
        <w:rPr>
          <w:rFonts w:hint="eastAsia" w:asciiTheme="minorEastAsia" w:hAnsiTheme="minorEastAsia"/>
        </w:rPr>
        <w:t>所采</w:t>
      </w:r>
      <w:r>
        <w:rPr>
          <w:rFonts w:asciiTheme="minorEastAsia" w:hAnsiTheme="minorEastAsia"/>
        </w:rPr>
        <w:t>用的</w:t>
      </w:r>
      <w:r>
        <w:rPr>
          <w:rFonts w:hint="eastAsia" w:asciiTheme="minorEastAsia" w:hAnsiTheme="minorEastAsia"/>
        </w:rPr>
        <w:t>“四新”技术（</w:t>
      </w:r>
      <w:r>
        <w:rPr>
          <w:rFonts w:asciiTheme="minorEastAsia" w:hAnsiTheme="minorEastAsia"/>
        </w:rPr>
        <w:t>新技术</w:t>
      </w:r>
      <w:r>
        <w:rPr>
          <w:rFonts w:hint="eastAsia" w:asciiTheme="minorEastAsia" w:hAnsiTheme="minorEastAsia"/>
        </w:rPr>
        <w:t>、</w:t>
      </w:r>
      <w:r>
        <w:rPr>
          <w:rFonts w:asciiTheme="minorEastAsia" w:hAnsiTheme="minorEastAsia"/>
        </w:rPr>
        <w:t>新工艺、</w:t>
      </w:r>
      <w:r>
        <w:rPr>
          <w:rFonts w:hint="eastAsia" w:asciiTheme="minorEastAsia" w:hAnsiTheme="minorEastAsia"/>
        </w:rPr>
        <w:t>新设备</w:t>
      </w:r>
      <w:r>
        <w:rPr>
          <w:rFonts w:asciiTheme="minorEastAsia" w:hAnsiTheme="minorEastAsia"/>
        </w:rPr>
        <w:t>、新材料</w:t>
      </w:r>
      <w:r>
        <w:rPr>
          <w:rFonts w:hint="eastAsia" w:asciiTheme="minorEastAsia" w:hAnsiTheme="minorEastAsia"/>
        </w:rPr>
        <w:t>）</w:t>
      </w:r>
      <w:r>
        <w:rPr>
          <w:rFonts w:asciiTheme="minorEastAsia" w:hAnsiTheme="minorEastAsia"/>
        </w:rPr>
        <w:t>负责组织编制</w:t>
      </w:r>
      <w:r>
        <w:rPr>
          <w:rFonts w:hint="eastAsia" w:asciiTheme="minorEastAsia" w:hAnsiTheme="minorEastAsia"/>
        </w:rPr>
        <w:t>和</w:t>
      </w:r>
      <w:r>
        <w:rPr>
          <w:rFonts w:asciiTheme="minorEastAsia" w:hAnsiTheme="minorEastAsia"/>
        </w:rPr>
        <w:t>审定相应的安全技术</w:t>
      </w:r>
      <w:r>
        <w:rPr>
          <w:rFonts w:hint="eastAsia" w:asciiTheme="minorEastAsia" w:hAnsiTheme="minorEastAsia"/>
        </w:rPr>
        <w:t>措施和安全</w:t>
      </w:r>
      <w:r>
        <w:rPr>
          <w:rFonts w:asciiTheme="minorEastAsia" w:hAnsiTheme="minorEastAsia"/>
        </w:rPr>
        <w:t>操作规程</w:t>
      </w:r>
      <w:r>
        <w:rPr>
          <w:rFonts w:hint="eastAsia" w:asciiTheme="minorEastAsia" w:hAnsiTheme="minorEastAsia"/>
        </w:rPr>
        <w:t>，并</w:t>
      </w:r>
      <w:r>
        <w:rPr>
          <w:rFonts w:asciiTheme="minorEastAsia" w:hAnsiTheme="minorEastAsia"/>
        </w:rPr>
        <w:t>组织落实有关安全技术交底</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（六）会同有关部门编制安全技术教育培训计划，向作业人员进行安全技术教育培训；</w:t>
      </w:r>
    </w:p>
    <w:p>
      <w:pPr>
        <w:widowControl w:val="0"/>
        <w:adjustRightInd w:val="0"/>
        <w:snapToGrid w:val="0"/>
        <w:ind w:firstLine="480"/>
        <w:rPr>
          <w:rFonts w:asciiTheme="minorEastAsia" w:hAnsiTheme="minorEastAsia"/>
        </w:rPr>
      </w:pPr>
      <w:r>
        <w:rPr>
          <w:rFonts w:hint="eastAsia" w:asciiTheme="minorEastAsia" w:hAnsiTheme="minorEastAsia"/>
        </w:rPr>
        <w:t>（七）参加安全检查和验收，对查出的隐患提出技术改进措施，并检查执行情况；</w:t>
      </w:r>
    </w:p>
    <w:p>
      <w:pPr>
        <w:widowControl w:val="0"/>
        <w:adjustRightInd w:val="0"/>
        <w:snapToGrid w:val="0"/>
        <w:ind w:firstLine="480"/>
        <w:rPr>
          <w:rFonts w:asciiTheme="minorEastAsia" w:hAnsiTheme="minorEastAsia"/>
        </w:rPr>
      </w:pPr>
      <w:r>
        <w:rPr>
          <w:rFonts w:hint="eastAsia" w:asciiTheme="minorEastAsia" w:hAnsiTheme="minorEastAsia"/>
        </w:rPr>
        <w:t>（八）</w:t>
      </w:r>
      <w:r>
        <w:rPr>
          <w:rFonts w:asciiTheme="minorEastAsia" w:hAnsiTheme="minorEastAsia"/>
        </w:rPr>
        <w:t>参加</w:t>
      </w:r>
      <w:r>
        <w:rPr>
          <w:rFonts w:hint="eastAsia" w:asciiTheme="minorEastAsia" w:hAnsiTheme="minorEastAsia"/>
        </w:rPr>
        <w:t>已</w:t>
      </w:r>
      <w:r>
        <w:rPr>
          <w:rFonts w:asciiTheme="minorEastAsia" w:hAnsiTheme="minorEastAsia"/>
        </w:rPr>
        <w:t>、未遂事故的调查</w:t>
      </w:r>
      <w:r>
        <w:rPr>
          <w:rFonts w:hint="eastAsia" w:asciiTheme="minorEastAsia" w:hAnsiTheme="minorEastAsia"/>
        </w:rPr>
        <w:t>，</w:t>
      </w:r>
      <w:r>
        <w:rPr>
          <w:rFonts w:asciiTheme="minorEastAsia" w:hAnsiTheme="minorEastAsia"/>
        </w:rPr>
        <w:t>从技术方面分析原因</w:t>
      </w:r>
      <w:r>
        <w:rPr>
          <w:rFonts w:hint="eastAsia" w:asciiTheme="minorEastAsia" w:hAnsiTheme="minorEastAsia"/>
        </w:rPr>
        <w:t>，</w:t>
      </w:r>
      <w:r>
        <w:rPr>
          <w:rFonts w:asciiTheme="minorEastAsia" w:hAnsiTheme="minorEastAsia"/>
        </w:rPr>
        <w:t>提出并制定防范措施</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（九）负责</w:t>
      </w:r>
      <w:r>
        <w:rPr>
          <w:rFonts w:asciiTheme="minorEastAsia" w:hAnsiTheme="minorEastAsia"/>
        </w:rPr>
        <w:t>组织安全技术</w:t>
      </w:r>
      <w:r>
        <w:rPr>
          <w:rFonts w:hint="eastAsia" w:asciiTheme="minorEastAsia" w:hAnsiTheme="minorEastAsia"/>
        </w:rPr>
        <w:t>、</w:t>
      </w:r>
      <w:r>
        <w:rPr>
          <w:rFonts w:asciiTheme="minorEastAsia" w:hAnsiTheme="minorEastAsia"/>
        </w:rPr>
        <w:t>劳动保护</w:t>
      </w:r>
      <w:r>
        <w:rPr>
          <w:rFonts w:hint="eastAsia" w:asciiTheme="minorEastAsia" w:hAnsiTheme="minorEastAsia"/>
        </w:rPr>
        <w:t>等方面</w:t>
      </w:r>
      <w:r>
        <w:rPr>
          <w:rFonts w:asciiTheme="minorEastAsia" w:hAnsiTheme="minorEastAsia"/>
        </w:rPr>
        <w:t>的</w:t>
      </w:r>
      <w:r>
        <w:rPr>
          <w:rFonts w:hint="eastAsia" w:asciiTheme="minorEastAsia" w:hAnsiTheme="minorEastAsia"/>
        </w:rPr>
        <w:t>技术</w:t>
      </w:r>
      <w:r>
        <w:rPr>
          <w:rFonts w:asciiTheme="minorEastAsia" w:hAnsiTheme="minorEastAsia"/>
        </w:rPr>
        <w:t>攻关活动</w:t>
      </w:r>
      <w:r>
        <w:rPr>
          <w:rFonts w:hint="eastAsia" w:asciiTheme="minorEastAsia" w:hAnsiTheme="minorEastAsia"/>
        </w:rPr>
        <w:t>，</w:t>
      </w:r>
      <w:r>
        <w:rPr>
          <w:rFonts w:asciiTheme="minorEastAsia" w:hAnsiTheme="minorEastAsia"/>
        </w:rPr>
        <w:t>从安全技术上负责对尘毒、噪声等职业危害的治理</w:t>
      </w:r>
      <w:r>
        <w:rPr>
          <w:rFonts w:hint="eastAsia" w:asciiTheme="minorEastAsia" w:hAnsiTheme="minorEastAsia"/>
        </w:rPr>
        <w:t>，以改善劳动条件。</w:t>
      </w:r>
    </w:p>
    <w:p>
      <w:pPr>
        <w:widowControl w:val="0"/>
        <w:adjustRightInd w:val="0"/>
        <w:snapToGrid w:val="0"/>
        <w:ind w:firstLine="482"/>
        <w:rPr>
          <w:rFonts w:asciiTheme="minorEastAsia" w:hAnsiTheme="minorEastAsia"/>
          <w:bCs/>
        </w:rPr>
      </w:pPr>
      <w:r>
        <w:rPr>
          <w:rFonts w:hint="eastAsia" w:asciiTheme="minorEastAsia" w:hAnsiTheme="minorEastAsia"/>
          <w:b/>
        </w:rPr>
        <w:t xml:space="preserve">第十八条 </w:t>
      </w:r>
      <w:r>
        <w:rPr>
          <w:rFonts w:hint="eastAsia" w:asciiTheme="minorEastAsia" w:hAnsiTheme="minorEastAsia"/>
          <w:bCs/>
        </w:rPr>
        <w:t>项目安全总监安全生产职责</w:t>
      </w:r>
    </w:p>
    <w:p>
      <w:pPr>
        <w:widowControl w:val="0"/>
        <w:adjustRightInd w:val="0"/>
        <w:snapToGrid w:val="0"/>
        <w:ind w:firstLine="480"/>
        <w:rPr>
          <w:rFonts w:asciiTheme="minorEastAsia" w:hAnsiTheme="minorEastAsia"/>
        </w:rPr>
      </w:pPr>
      <w:r>
        <w:rPr>
          <w:rFonts w:hint="eastAsia" w:asciiTheme="minorEastAsia" w:hAnsiTheme="minorEastAsia"/>
          <w:bCs/>
        </w:rPr>
        <w:t>（一）</w:t>
      </w:r>
      <w:r>
        <w:rPr>
          <w:rFonts w:hint="eastAsia" w:asciiTheme="minorEastAsia" w:hAnsiTheme="minorEastAsia"/>
        </w:rPr>
        <w:t>主管安全工作的安全总监是项目部安全管理工作的主管负责人，在项目经理的领导下，对安全工作负监督领导责任；</w:t>
      </w:r>
    </w:p>
    <w:p>
      <w:pPr>
        <w:widowControl w:val="0"/>
        <w:adjustRightInd w:val="0"/>
        <w:snapToGrid w:val="0"/>
        <w:ind w:firstLine="480"/>
        <w:rPr>
          <w:rFonts w:asciiTheme="minorEastAsia" w:hAnsiTheme="minorEastAsia"/>
        </w:rPr>
      </w:pPr>
      <w:r>
        <w:rPr>
          <w:rFonts w:hint="eastAsia" w:asciiTheme="minorEastAsia" w:hAnsiTheme="minorEastAsia"/>
        </w:rPr>
        <w:t>（二）</w:t>
      </w:r>
      <w:r>
        <w:rPr>
          <w:rFonts w:asciiTheme="minorEastAsia" w:hAnsiTheme="minorEastAsia"/>
        </w:rPr>
        <w:t>领导</w:t>
      </w:r>
      <w:r>
        <w:rPr>
          <w:rFonts w:hint="eastAsia" w:asciiTheme="minorEastAsia" w:hAnsiTheme="minorEastAsia"/>
        </w:rPr>
        <w:t>工区</w:t>
      </w:r>
      <w:r>
        <w:rPr>
          <w:rFonts w:asciiTheme="minorEastAsia" w:hAnsiTheme="minorEastAsia"/>
        </w:rPr>
        <w:t>项目部安全</w:t>
      </w:r>
      <w:r>
        <w:rPr>
          <w:rFonts w:hint="eastAsia" w:asciiTheme="minorEastAsia" w:hAnsiTheme="minorEastAsia"/>
        </w:rPr>
        <w:t>、</w:t>
      </w:r>
      <w:r>
        <w:rPr>
          <w:rFonts w:asciiTheme="minorEastAsia" w:hAnsiTheme="minorEastAsia"/>
        </w:rPr>
        <w:t>环保</w:t>
      </w:r>
      <w:r>
        <w:rPr>
          <w:rFonts w:hint="eastAsia" w:asciiTheme="minorEastAsia" w:hAnsiTheme="minorEastAsia"/>
        </w:rPr>
        <w:t>等机构开展安全监督管理</w:t>
      </w:r>
      <w:r>
        <w:rPr>
          <w:rFonts w:asciiTheme="minorEastAsia" w:hAnsiTheme="minorEastAsia"/>
        </w:rPr>
        <w:t>工作，并对</w:t>
      </w:r>
      <w:r>
        <w:rPr>
          <w:rFonts w:hint="eastAsia" w:asciiTheme="minorEastAsia" w:hAnsiTheme="minorEastAsia"/>
        </w:rPr>
        <w:t>工区</w:t>
      </w:r>
      <w:r>
        <w:rPr>
          <w:rFonts w:asciiTheme="minorEastAsia" w:hAnsiTheme="minorEastAsia"/>
        </w:rPr>
        <w:t>项目部下属单位安全监督机构的建立健全和人员配备进行</w:t>
      </w:r>
      <w:r>
        <w:rPr>
          <w:rFonts w:hint="eastAsia" w:asciiTheme="minorEastAsia" w:hAnsiTheme="minorEastAsia"/>
        </w:rPr>
        <w:t>具体</w:t>
      </w:r>
      <w:r>
        <w:rPr>
          <w:rFonts w:asciiTheme="minorEastAsia" w:hAnsiTheme="minorEastAsia"/>
        </w:rPr>
        <w:t>落实</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（三）</w:t>
      </w:r>
      <w:r>
        <w:rPr>
          <w:rFonts w:asciiTheme="minorEastAsia" w:hAnsiTheme="minorEastAsia"/>
        </w:rPr>
        <w:t>组织制定</w:t>
      </w:r>
      <w:r>
        <w:rPr>
          <w:rFonts w:hint="eastAsia" w:asciiTheme="minorEastAsia" w:hAnsiTheme="minorEastAsia"/>
        </w:rPr>
        <w:t>总承包</w:t>
      </w:r>
      <w:r>
        <w:rPr>
          <w:rFonts w:asciiTheme="minorEastAsia" w:hAnsiTheme="minorEastAsia"/>
        </w:rPr>
        <w:t>项目部安全工作目标计划，部署并督促</w:t>
      </w:r>
      <w:r>
        <w:rPr>
          <w:rFonts w:hint="eastAsia" w:asciiTheme="minorEastAsia" w:hAnsiTheme="minorEastAsia"/>
        </w:rPr>
        <w:t>项目</w:t>
      </w:r>
      <w:r>
        <w:rPr>
          <w:rFonts w:asciiTheme="minorEastAsia" w:hAnsiTheme="minorEastAsia"/>
        </w:rPr>
        <w:t>安全工作计划的实施</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（四）</w:t>
      </w:r>
      <w:r>
        <w:rPr>
          <w:rFonts w:asciiTheme="minorEastAsia" w:hAnsiTheme="minorEastAsia"/>
        </w:rPr>
        <w:t>负责组织编制项目部的</w:t>
      </w:r>
      <w:r>
        <w:rPr>
          <w:rFonts w:hint="eastAsia" w:asciiTheme="minorEastAsia" w:hAnsiTheme="minorEastAsia"/>
        </w:rPr>
        <w:t>相关安全管理制度</w:t>
      </w:r>
      <w:r>
        <w:rPr>
          <w:rFonts w:asciiTheme="minorEastAsia" w:hAnsiTheme="minorEastAsia"/>
        </w:rPr>
        <w:t>，保证切实可行；组织开展安全技术研究工作，积极采用先进技术和安全防护装置</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（五）负责组织对本项目进行危险源辨识、风险评价和控制措施策划。</w:t>
      </w:r>
      <w:r>
        <w:rPr>
          <w:rFonts w:asciiTheme="minorEastAsia" w:hAnsiTheme="minorEastAsia"/>
        </w:rPr>
        <w:t>组织并落实重大事故隐患的整改方案，并负责</w:t>
      </w:r>
      <w:r>
        <w:rPr>
          <w:rFonts w:hint="eastAsia" w:asciiTheme="minorEastAsia" w:hAnsiTheme="minorEastAsia"/>
        </w:rPr>
        <w:t>监督落实</w:t>
      </w:r>
      <w:r>
        <w:rPr>
          <w:rFonts w:asciiTheme="minorEastAsia" w:hAnsiTheme="minorEastAsia"/>
        </w:rPr>
        <w:t>。组织开展“重大危险源监控”管理工作，定期对监控效果进行分析，针对存在的问题及时采取应对措施并督促落实</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（六）负责监督项目部</w:t>
      </w:r>
      <w:r>
        <w:rPr>
          <w:rFonts w:asciiTheme="minorEastAsia" w:hAnsiTheme="minorEastAsia"/>
        </w:rPr>
        <w:t>制定项目分</w:t>
      </w:r>
      <w:r>
        <w:rPr>
          <w:rFonts w:hint="eastAsia" w:asciiTheme="minorEastAsia" w:hAnsiTheme="minorEastAsia"/>
        </w:rPr>
        <w:t>部</w:t>
      </w:r>
      <w:r>
        <w:rPr>
          <w:rFonts w:asciiTheme="minorEastAsia" w:hAnsiTheme="minorEastAsia"/>
        </w:rPr>
        <w:t>分项工程、关键工序、重要部位的安全技术措施</w:t>
      </w:r>
      <w:r>
        <w:rPr>
          <w:rFonts w:hint="eastAsia" w:asciiTheme="minorEastAsia" w:hAnsiTheme="minorEastAsia"/>
        </w:rPr>
        <w:t>及</w:t>
      </w:r>
      <w:r>
        <w:rPr>
          <w:rFonts w:asciiTheme="minorEastAsia" w:hAnsiTheme="minorEastAsia"/>
        </w:rPr>
        <w:t>大型设备的安装、拆除</w:t>
      </w:r>
      <w:r>
        <w:rPr>
          <w:rFonts w:hint="eastAsia" w:asciiTheme="minorEastAsia" w:hAnsiTheme="minorEastAsia"/>
        </w:rPr>
        <w:t>等</w:t>
      </w:r>
      <w:r>
        <w:rPr>
          <w:rFonts w:asciiTheme="minorEastAsia" w:hAnsiTheme="minorEastAsia"/>
        </w:rPr>
        <w:t>安全技术措施方案</w:t>
      </w:r>
      <w:r>
        <w:rPr>
          <w:rFonts w:hint="eastAsia" w:asciiTheme="minorEastAsia" w:hAnsiTheme="minorEastAsia"/>
        </w:rPr>
        <w:t>，审核其安全可靠性，并监督落实；</w:t>
      </w:r>
    </w:p>
    <w:p>
      <w:pPr>
        <w:widowControl w:val="0"/>
        <w:adjustRightInd w:val="0"/>
        <w:snapToGrid w:val="0"/>
        <w:ind w:firstLine="480"/>
        <w:rPr>
          <w:rFonts w:asciiTheme="minorEastAsia" w:hAnsiTheme="minorEastAsia"/>
        </w:rPr>
      </w:pPr>
      <w:r>
        <w:rPr>
          <w:rFonts w:hint="eastAsia" w:asciiTheme="minorEastAsia" w:hAnsiTheme="minorEastAsia"/>
        </w:rPr>
        <w:t>（七）负责组织本项目开展各项安全活动及安全信息处置，总结交流安全生产先进经验和处置安全合理化建议。</w:t>
      </w:r>
      <w:r>
        <w:rPr>
          <w:rFonts w:asciiTheme="minorEastAsia" w:hAnsiTheme="minorEastAsia"/>
        </w:rPr>
        <w:t>组织岗位</w:t>
      </w:r>
      <w:r>
        <w:rPr>
          <w:rFonts w:hint="eastAsia" w:asciiTheme="minorEastAsia" w:hAnsiTheme="minorEastAsia"/>
        </w:rPr>
        <w:t>安全</w:t>
      </w:r>
      <w:r>
        <w:rPr>
          <w:rFonts w:asciiTheme="minorEastAsia" w:hAnsiTheme="minorEastAsia"/>
        </w:rPr>
        <w:t>技术培训工作，对</w:t>
      </w:r>
      <w:r>
        <w:rPr>
          <w:rFonts w:hint="eastAsia" w:asciiTheme="minorEastAsia" w:hAnsiTheme="minorEastAsia"/>
        </w:rPr>
        <w:t>作业</w:t>
      </w:r>
      <w:r>
        <w:rPr>
          <w:rFonts w:asciiTheme="minorEastAsia" w:hAnsiTheme="minorEastAsia"/>
        </w:rPr>
        <w:t>人员进行安全技术知识</w:t>
      </w:r>
      <w:r>
        <w:rPr>
          <w:rFonts w:hint="eastAsia" w:asciiTheme="minorEastAsia" w:hAnsiTheme="minorEastAsia"/>
        </w:rPr>
        <w:t>培训</w:t>
      </w:r>
      <w:r>
        <w:rPr>
          <w:rFonts w:asciiTheme="minorEastAsia" w:hAnsiTheme="minorEastAsia"/>
        </w:rPr>
        <w:t>。</w:t>
      </w:r>
      <w:r>
        <w:rPr>
          <w:rFonts w:hint="eastAsia" w:asciiTheme="minorEastAsia" w:hAnsiTheme="minorEastAsia"/>
        </w:rPr>
        <w:t>负责组织项目管理人员、作业人员开展安全风险教育培训和应急救援知识培训、应急救援演练；</w:t>
      </w:r>
    </w:p>
    <w:p>
      <w:pPr>
        <w:widowControl w:val="0"/>
        <w:adjustRightInd w:val="0"/>
        <w:snapToGrid w:val="0"/>
        <w:ind w:firstLine="480"/>
        <w:rPr>
          <w:rFonts w:asciiTheme="minorEastAsia" w:hAnsiTheme="minorEastAsia"/>
        </w:rPr>
      </w:pPr>
      <w:r>
        <w:rPr>
          <w:rFonts w:hint="eastAsia" w:asciiTheme="minorEastAsia" w:hAnsiTheme="minorEastAsia"/>
        </w:rPr>
        <w:t>（八）负责监督本工程项目的“三级”安全教育培训工作的落实及项目特种作业人员（架子工、电工、焊工及各类机械操作工等）持证上岗的落实；</w:t>
      </w:r>
    </w:p>
    <w:p>
      <w:pPr>
        <w:widowControl w:val="0"/>
        <w:adjustRightInd w:val="0"/>
        <w:snapToGrid w:val="0"/>
        <w:ind w:firstLine="480"/>
        <w:rPr>
          <w:rFonts w:asciiTheme="minorEastAsia" w:hAnsiTheme="minorEastAsia"/>
        </w:rPr>
      </w:pPr>
      <w:r>
        <w:rPr>
          <w:rFonts w:hint="eastAsia" w:asciiTheme="minorEastAsia" w:hAnsiTheme="minorEastAsia"/>
        </w:rPr>
        <w:t>（九）负责监督本工程项目的安全技术交底工作，并督促严格按交底要求执行；</w:t>
      </w:r>
    </w:p>
    <w:p>
      <w:pPr>
        <w:widowControl w:val="0"/>
        <w:adjustRightInd w:val="0"/>
        <w:snapToGrid w:val="0"/>
        <w:ind w:firstLine="480"/>
        <w:rPr>
          <w:rFonts w:asciiTheme="minorEastAsia" w:hAnsiTheme="minorEastAsia"/>
        </w:rPr>
      </w:pPr>
      <w:r>
        <w:rPr>
          <w:rFonts w:hint="eastAsia" w:asciiTheme="minorEastAsia" w:hAnsiTheme="minorEastAsia"/>
        </w:rPr>
        <w:t>（十）监督进场设备、设施的安全性能等符合相关规范要求及进场材料符合相关规范要求；</w:t>
      </w:r>
    </w:p>
    <w:p>
      <w:pPr>
        <w:widowControl w:val="0"/>
        <w:adjustRightInd w:val="0"/>
        <w:snapToGrid w:val="0"/>
        <w:ind w:firstLine="480"/>
        <w:rPr>
          <w:rFonts w:asciiTheme="minorEastAsia" w:hAnsiTheme="minorEastAsia"/>
        </w:rPr>
      </w:pPr>
      <w:r>
        <w:rPr>
          <w:rFonts w:hint="eastAsia" w:asciiTheme="minorEastAsia" w:hAnsiTheme="minorEastAsia"/>
        </w:rPr>
        <w:t>（十一）主持或参加本项目安全生产检查，对发现的安全隐患进行监督整改闭合；</w:t>
      </w:r>
    </w:p>
    <w:p>
      <w:pPr>
        <w:widowControl w:val="0"/>
        <w:adjustRightInd w:val="0"/>
        <w:snapToGrid w:val="0"/>
        <w:ind w:firstLine="480"/>
        <w:rPr>
          <w:rFonts w:asciiTheme="minorEastAsia" w:hAnsiTheme="minorEastAsia"/>
        </w:rPr>
      </w:pPr>
      <w:r>
        <w:rPr>
          <w:rFonts w:hint="eastAsia" w:asciiTheme="minorEastAsia" w:hAnsiTheme="minorEastAsia"/>
        </w:rPr>
        <w:t>（十二）检查安全技术措施方案的实施情况，解决施工过程中遇到的安全技术问题；发现事故隐患，及时提出纠正、预防措施；</w:t>
      </w:r>
    </w:p>
    <w:p>
      <w:pPr>
        <w:widowControl w:val="0"/>
        <w:adjustRightInd w:val="0"/>
        <w:snapToGrid w:val="0"/>
        <w:ind w:firstLine="480"/>
        <w:rPr>
          <w:rFonts w:asciiTheme="minorEastAsia" w:hAnsiTheme="minorEastAsia"/>
        </w:rPr>
      </w:pPr>
      <w:r>
        <w:rPr>
          <w:rFonts w:hint="eastAsia" w:asciiTheme="minorEastAsia" w:hAnsiTheme="minorEastAsia"/>
        </w:rPr>
        <w:t>（十三）监督本项目安全生产费用的投入情况，对本项目安全投入费用进行统计、分析、上报；监督检查本项目工区项目部安全管理工作情况，监督审核其在本项目上的安全生产费用的有效使用情况；</w:t>
      </w:r>
    </w:p>
    <w:p>
      <w:pPr>
        <w:widowControl w:val="0"/>
        <w:adjustRightInd w:val="0"/>
        <w:snapToGrid w:val="0"/>
        <w:ind w:firstLine="480"/>
        <w:rPr>
          <w:rFonts w:asciiTheme="minorEastAsia" w:hAnsiTheme="minorEastAsia"/>
        </w:rPr>
      </w:pPr>
      <w:r>
        <w:rPr>
          <w:rFonts w:hint="eastAsia" w:asciiTheme="minorEastAsia" w:hAnsiTheme="minorEastAsia"/>
        </w:rPr>
        <w:t>（十四）参加项目每周安全生产例会，对生产中碰到的安全问题从安全角度提出处理意见，坚持“先安全、后生产”的原则；</w:t>
      </w:r>
    </w:p>
    <w:p>
      <w:pPr>
        <w:widowControl w:val="0"/>
        <w:adjustRightInd w:val="0"/>
        <w:snapToGrid w:val="0"/>
        <w:ind w:firstLine="480"/>
        <w:rPr>
          <w:rFonts w:asciiTheme="minorEastAsia" w:hAnsiTheme="minorEastAsia"/>
        </w:rPr>
      </w:pPr>
      <w:r>
        <w:rPr>
          <w:rFonts w:hint="eastAsia" w:asciiTheme="minorEastAsia" w:hAnsiTheme="minorEastAsia"/>
        </w:rPr>
        <w:t>（十五）参加已、未遂事故的调查处理工作，负责分析、查明事故安全技术方面的原因，做出安全技术方面的鉴定，制定有效措施，防止事故重复发生；</w:t>
      </w:r>
    </w:p>
    <w:p>
      <w:pPr>
        <w:widowControl w:val="0"/>
        <w:adjustRightInd w:val="0"/>
        <w:snapToGrid w:val="0"/>
        <w:ind w:firstLine="480"/>
        <w:rPr>
          <w:rFonts w:asciiTheme="minorEastAsia" w:hAnsiTheme="minorEastAsia"/>
        </w:rPr>
      </w:pPr>
      <w:r>
        <w:rPr>
          <w:rFonts w:hint="eastAsia" w:asciiTheme="minorEastAsia" w:hAnsiTheme="minorEastAsia"/>
        </w:rPr>
        <w:t>（十六）项目其他安全监督管理工作。</w:t>
      </w:r>
    </w:p>
    <w:p>
      <w:pPr>
        <w:pStyle w:val="3"/>
        <w:widowControl w:val="0"/>
      </w:pPr>
      <w:bookmarkStart w:id="29" w:name="_Toc11669"/>
      <w:r>
        <w:rPr>
          <w:rFonts w:hint="eastAsia"/>
        </w:rPr>
        <w:t>第五章 其他岗位和人员安全生产责任</w:t>
      </w:r>
      <w:bookmarkEnd w:id="29"/>
    </w:p>
    <w:p>
      <w:pPr>
        <w:widowControl w:val="0"/>
        <w:adjustRightInd w:val="0"/>
        <w:snapToGrid w:val="0"/>
        <w:ind w:firstLine="482"/>
        <w:rPr>
          <w:rFonts w:asciiTheme="minorEastAsia" w:hAnsiTheme="minorEastAsia"/>
          <w:bCs/>
        </w:rPr>
      </w:pPr>
      <w:r>
        <w:rPr>
          <w:rFonts w:hint="eastAsia" w:asciiTheme="minorEastAsia" w:hAnsiTheme="minorEastAsia"/>
          <w:b/>
        </w:rPr>
        <w:t xml:space="preserve">第十九条 </w:t>
      </w:r>
      <w:r>
        <w:rPr>
          <w:rFonts w:hint="eastAsia" w:asciiTheme="minorEastAsia" w:hAnsiTheme="minorEastAsia"/>
          <w:bCs/>
        </w:rPr>
        <w:t>技术员安全生产职责</w:t>
      </w:r>
    </w:p>
    <w:p>
      <w:pPr>
        <w:widowControl w:val="0"/>
        <w:adjustRightInd w:val="0"/>
        <w:snapToGrid w:val="0"/>
        <w:ind w:firstLine="480"/>
        <w:rPr>
          <w:rFonts w:asciiTheme="minorEastAsia" w:hAnsiTheme="minorEastAsia"/>
        </w:rPr>
      </w:pPr>
      <w:r>
        <w:rPr>
          <w:rFonts w:hint="eastAsia" w:asciiTheme="minorEastAsia" w:hAnsiTheme="minorEastAsia"/>
        </w:rPr>
        <w:t>（一）认真贯彻上级审批的安全技术措施和施工组织设计，在施工与安全防护发生冲突时，应积极主动地配合，坚持做到先防护、后施工的原则，坚决制止违章、侥幸、冒险的行为；</w:t>
      </w:r>
    </w:p>
    <w:p>
      <w:pPr>
        <w:widowControl w:val="0"/>
        <w:adjustRightInd w:val="0"/>
        <w:snapToGrid w:val="0"/>
        <w:ind w:firstLine="480"/>
        <w:rPr>
          <w:rFonts w:asciiTheme="minorEastAsia" w:hAnsiTheme="minorEastAsia"/>
        </w:rPr>
      </w:pPr>
      <w:r>
        <w:rPr>
          <w:rFonts w:hint="eastAsia" w:asciiTheme="minorEastAsia" w:hAnsiTheme="minorEastAsia"/>
        </w:rPr>
        <w:t>（二）熟练掌握“建筑施工安全检查标准”及有关制度，在分管的分部分项工程，对工人进行安全技术措施交底及教育，并付诸实施；</w:t>
      </w:r>
    </w:p>
    <w:p>
      <w:pPr>
        <w:widowControl w:val="0"/>
        <w:adjustRightInd w:val="0"/>
        <w:snapToGrid w:val="0"/>
        <w:ind w:firstLine="480"/>
        <w:rPr>
          <w:rFonts w:asciiTheme="minorEastAsia" w:hAnsiTheme="minorEastAsia"/>
        </w:rPr>
      </w:pPr>
      <w:r>
        <w:rPr>
          <w:rFonts w:hint="eastAsia" w:asciiTheme="minorEastAsia" w:hAnsiTheme="minorEastAsia"/>
        </w:rPr>
        <w:t>（三）随时制止违章行为，对施工过程中发现的</w:t>
      </w:r>
      <w:r>
        <w:rPr>
          <w:rFonts w:hint="eastAsia" w:asciiTheme="minorEastAsia" w:hAnsiTheme="minorEastAsia"/>
          <w:lang w:eastAsia="zh-CN"/>
        </w:rPr>
        <w:t>安全隐患</w:t>
      </w:r>
      <w:r>
        <w:rPr>
          <w:rFonts w:hint="eastAsia" w:asciiTheme="minorEastAsia" w:hAnsiTheme="minorEastAsia"/>
        </w:rPr>
        <w:t>要及时处理并提出合理化建议，对不整改的班组和个人有权责令其停工。在发生险情时，要及时上报，并配合有关部门做好善后处理工作；</w:t>
      </w:r>
    </w:p>
    <w:p>
      <w:pPr>
        <w:widowControl w:val="0"/>
        <w:adjustRightInd w:val="0"/>
        <w:snapToGrid w:val="0"/>
        <w:ind w:firstLine="480"/>
        <w:rPr>
          <w:rFonts w:asciiTheme="minorEastAsia" w:hAnsiTheme="minorEastAsia"/>
        </w:rPr>
      </w:pPr>
      <w:r>
        <w:rPr>
          <w:rFonts w:hint="eastAsia" w:asciiTheme="minorEastAsia" w:hAnsiTheme="minorEastAsia"/>
        </w:rPr>
        <w:t>（四）发生生产安全事故，要立即上报，保护现场，抢救伤员，协助调查整改工作的进行。</w:t>
      </w:r>
    </w:p>
    <w:p>
      <w:pPr>
        <w:widowControl w:val="0"/>
        <w:adjustRightInd w:val="0"/>
        <w:snapToGrid w:val="0"/>
        <w:ind w:firstLine="482"/>
        <w:rPr>
          <w:rFonts w:asciiTheme="minorEastAsia" w:hAnsiTheme="minorEastAsia"/>
          <w:bCs/>
        </w:rPr>
      </w:pPr>
      <w:r>
        <w:rPr>
          <w:rFonts w:hint="eastAsia" w:asciiTheme="minorEastAsia" w:hAnsiTheme="minorEastAsia"/>
          <w:b/>
        </w:rPr>
        <w:t xml:space="preserve">第二十条 </w:t>
      </w:r>
      <w:r>
        <w:rPr>
          <w:rFonts w:hint="eastAsia" w:asciiTheme="minorEastAsia" w:hAnsiTheme="minorEastAsia"/>
          <w:bCs/>
        </w:rPr>
        <w:t>安全员安全生产职责</w:t>
      </w:r>
    </w:p>
    <w:p>
      <w:pPr>
        <w:widowControl w:val="0"/>
        <w:adjustRightInd w:val="0"/>
        <w:snapToGrid w:val="0"/>
        <w:ind w:firstLine="480"/>
        <w:rPr>
          <w:rFonts w:asciiTheme="minorEastAsia" w:hAnsiTheme="minorEastAsia"/>
        </w:rPr>
      </w:pPr>
      <w:r>
        <w:rPr>
          <w:rFonts w:hint="eastAsia" w:asciiTheme="minorEastAsia" w:hAnsiTheme="minorEastAsia"/>
        </w:rPr>
        <w:t>（一）认真贯彻执行</w:t>
      </w:r>
      <w:r>
        <w:rPr>
          <w:rFonts w:asciiTheme="minorEastAsia" w:hAnsiTheme="minorEastAsia"/>
        </w:rPr>
        <w:t>党和国家及上级关于安全生产的法律</w:t>
      </w:r>
      <w:r>
        <w:fldChar w:fldCharType="begin"/>
      </w:r>
      <w:r>
        <w:instrText xml:space="preserve"> HYPERLINK "http://www.fdcew.com/fgwk/Index.html" \t "_blank" </w:instrText>
      </w:r>
      <w:r>
        <w:fldChar w:fldCharType="separate"/>
      </w:r>
      <w:r>
        <w:rPr>
          <w:rFonts w:asciiTheme="minorEastAsia" w:hAnsiTheme="minorEastAsia"/>
        </w:rPr>
        <w:t>法规</w:t>
      </w:r>
      <w:r>
        <w:rPr>
          <w:rFonts w:asciiTheme="minorEastAsia" w:hAnsiTheme="minorEastAsia"/>
        </w:rPr>
        <w:fldChar w:fldCharType="end"/>
      </w:r>
      <w:r>
        <w:rPr>
          <w:rFonts w:asciiTheme="minorEastAsia" w:hAnsiTheme="minorEastAsia"/>
        </w:rPr>
        <w:t>、方针、政策、文件和要求</w:t>
      </w:r>
      <w:r>
        <w:rPr>
          <w:rFonts w:hint="eastAsia" w:asciiTheme="minorEastAsia" w:hAnsiTheme="minorEastAsia"/>
        </w:rPr>
        <w:t>，对工程项目的生产安全负直接责任；</w:t>
      </w:r>
    </w:p>
    <w:p>
      <w:pPr>
        <w:widowControl w:val="0"/>
        <w:adjustRightInd w:val="0"/>
        <w:snapToGrid w:val="0"/>
        <w:ind w:firstLine="480"/>
        <w:rPr>
          <w:rFonts w:asciiTheme="minorEastAsia" w:hAnsiTheme="minorEastAsia"/>
        </w:rPr>
      </w:pPr>
      <w:r>
        <w:rPr>
          <w:rFonts w:hint="eastAsia" w:asciiTheme="minorEastAsia" w:hAnsiTheme="minorEastAsia"/>
        </w:rPr>
        <w:t>（二）</w:t>
      </w:r>
      <w:r>
        <w:rPr>
          <w:rFonts w:asciiTheme="minorEastAsia" w:hAnsiTheme="minorEastAsia"/>
        </w:rPr>
        <w:t>参加</w:t>
      </w:r>
      <w:r>
        <w:rPr>
          <w:rFonts w:hint="eastAsia" w:asciiTheme="minorEastAsia" w:hAnsiTheme="minorEastAsia"/>
        </w:rPr>
        <w:t>项目部</w:t>
      </w:r>
      <w:r>
        <w:rPr>
          <w:rFonts w:asciiTheme="minorEastAsia" w:hAnsiTheme="minorEastAsia"/>
        </w:rPr>
        <w:t>生产工作会议</w:t>
      </w:r>
      <w:r>
        <w:rPr>
          <w:rFonts w:hint="eastAsia" w:asciiTheme="minorEastAsia" w:hAnsiTheme="minorEastAsia"/>
        </w:rPr>
        <w:t>，参加项目部</w:t>
      </w:r>
      <w:r>
        <w:rPr>
          <w:rFonts w:asciiTheme="minorEastAsia" w:hAnsiTheme="minorEastAsia"/>
        </w:rPr>
        <w:t>安全生产、文明</w:t>
      </w:r>
      <w:r>
        <w:fldChar w:fldCharType="begin"/>
      </w:r>
      <w:r>
        <w:instrText xml:space="preserve"> HYPERLINK "http://www.fdcew.com/Soft/jzsg/Index.html" \t "_blank" </w:instrText>
      </w:r>
      <w:r>
        <w:fldChar w:fldCharType="separate"/>
      </w:r>
      <w:r>
        <w:rPr>
          <w:rFonts w:asciiTheme="minorEastAsia" w:hAnsiTheme="minorEastAsia"/>
        </w:rPr>
        <w:t>施工</w:t>
      </w:r>
      <w:r>
        <w:rPr>
          <w:rFonts w:asciiTheme="minorEastAsia" w:hAnsiTheme="minorEastAsia"/>
        </w:rPr>
        <w:fldChar w:fldCharType="end"/>
      </w:r>
      <w:r>
        <w:fldChar w:fldCharType="begin"/>
      </w:r>
      <w:r>
        <w:instrText xml:space="preserve"> HYPERLINK "http://www.fdcew.com/gw/List_203.html" \t "_blank" </w:instrText>
      </w:r>
      <w:r>
        <w:fldChar w:fldCharType="separate"/>
      </w:r>
      <w:r>
        <w:rPr>
          <w:rFonts w:asciiTheme="minorEastAsia" w:hAnsiTheme="minorEastAsia"/>
        </w:rPr>
        <w:t>计划</w:t>
      </w:r>
      <w:r>
        <w:rPr>
          <w:rFonts w:asciiTheme="minorEastAsia" w:hAnsiTheme="minorEastAsia"/>
        </w:rPr>
        <w:fldChar w:fldCharType="end"/>
      </w:r>
      <w:r>
        <w:rPr>
          <w:rFonts w:hint="eastAsia" w:asciiTheme="minorEastAsia" w:hAnsiTheme="minorEastAsia"/>
        </w:rPr>
        <w:t>及安全措施的制订工作，</w:t>
      </w:r>
      <w:r>
        <w:rPr>
          <w:rFonts w:asciiTheme="minorEastAsia" w:hAnsiTheme="minorEastAsia"/>
        </w:rPr>
        <w:t>提出安全防护标准和安全措施意见</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（三）</w:t>
      </w:r>
      <w:r>
        <w:rPr>
          <w:rFonts w:asciiTheme="minorEastAsia" w:hAnsiTheme="minorEastAsia"/>
        </w:rPr>
        <w:t>负责日常安全生产</w:t>
      </w:r>
      <w:r>
        <w:rPr>
          <w:rFonts w:hint="eastAsia" w:asciiTheme="minorEastAsia" w:hAnsiTheme="minorEastAsia"/>
        </w:rPr>
        <w:t>宣传、教育</w:t>
      </w:r>
      <w:r>
        <w:fldChar w:fldCharType="begin"/>
      </w:r>
      <w:r>
        <w:instrText xml:space="preserve"> HYPERLINK "http://www.fdcew.com/hypx/List_181.html" \t "_blank" </w:instrText>
      </w:r>
      <w:r>
        <w:fldChar w:fldCharType="separate"/>
      </w:r>
      <w:r>
        <w:rPr>
          <w:rFonts w:asciiTheme="minorEastAsia" w:hAnsiTheme="minorEastAsia"/>
        </w:rPr>
        <w:t>培训</w:t>
      </w:r>
      <w:r>
        <w:rPr>
          <w:rFonts w:asciiTheme="minorEastAsia" w:hAnsiTheme="minorEastAsia"/>
        </w:rPr>
        <w:fldChar w:fldCharType="end"/>
      </w:r>
      <w:r>
        <w:rPr>
          <w:rFonts w:asciiTheme="minorEastAsia" w:hAnsiTheme="minorEastAsia"/>
        </w:rPr>
        <w:t>、考核和安全生产</w:t>
      </w:r>
      <w:r>
        <w:rPr>
          <w:rFonts w:hint="eastAsia" w:asciiTheme="minorEastAsia" w:hAnsiTheme="minorEastAsia"/>
        </w:rPr>
        <w:t>监督检查工作；配合有关人员做好安全技术培训工作，组织安全生产竞赛等活动；</w:t>
      </w:r>
    </w:p>
    <w:p>
      <w:pPr>
        <w:widowControl w:val="0"/>
        <w:adjustRightInd w:val="0"/>
        <w:snapToGrid w:val="0"/>
        <w:ind w:firstLine="480"/>
        <w:rPr>
          <w:rFonts w:asciiTheme="minorEastAsia" w:hAnsiTheme="minorEastAsia"/>
        </w:rPr>
      </w:pPr>
      <w:r>
        <w:rPr>
          <w:rFonts w:hint="eastAsia" w:asciiTheme="minorEastAsia" w:hAnsiTheme="minorEastAsia"/>
        </w:rPr>
        <w:t>（四）认真</w:t>
      </w:r>
      <w:r>
        <w:rPr>
          <w:rFonts w:asciiTheme="minorEastAsia" w:hAnsiTheme="minorEastAsia"/>
        </w:rPr>
        <w:t>开展安全、文明施工检查</w:t>
      </w:r>
      <w:r>
        <w:rPr>
          <w:rFonts w:hint="eastAsia" w:asciiTheme="minorEastAsia" w:hAnsiTheme="minorEastAsia"/>
        </w:rPr>
        <w:t>，做到预防为主，</w:t>
      </w:r>
      <w:r>
        <w:rPr>
          <w:rFonts w:asciiTheme="minorEastAsia" w:hAnsiTheme="minorEastAsia"/>
        </w:rPr>
        <w:t>对存在的问题</w:t>
      </w:r>
      <w:r>
        <w:rPr>
          <w:rFonts w:hint="eastAsia" w:asciiTheme="minorEastAsia" w:hAnsiTheme="minorEastAsia"/>
        </w:rPr>
        <w:t>隐患及时</w:t>
      </w:r>
      <w:r>
        <w:rPr>
          <w:rFonts w:asciiTheme="minorEastAsia" w:hAnsiTheme="minorEastAsia"/>
        </w:rPr>
        <w:t>发</w:t>
      </w:r>
      <w:r>
        <w:rPr>
          <w:rFonts w:hint="eastAsia" w:asciiTheme="minorEastAsia" w:hAnsiTheme="minorEastAsia"/>
        </w:rPr>
        <w:t>书面</w:t>
      </w:r>
      <w:r>
        <w:rPr>
          <w:rFonts w:asciiTheme="minorEastAsia" w:hAnsiTheme="minorEastAsia"/>
        </w:rPr>
        <w:t>《隐患通知书》</w:t>
      </w:r>
      <w:r>
        <w:rPr>
          <w:rFonts w:hint="eastAsia" w:asciiTheme="minorEastAsia" w:hAnsiTheme="minorEastAsia"/>
        </w:rPr>
        <w:t>，</w:t>
      </w:r>
      <w:r>
        <w:rPr>
          <w:rFonts w:asciiTheme="minorEastAsia" w:hAnsiTheme="minorEastAsia"/>
        </w:rPr>
        <w:t>并按时进行复查。</w:t>
      </w:r>
      <w:r>
        <w:rPr>
          <w:rFonts w:hint="eastAsia" w:asciiTheme="minorEastAsia" w:hAnsiTheme="minorEastAsia"/>
        </w:rPr>
        <w:t>对</w:t>
      </w:r>
      <w:r>
        <w:rPr>
          <w:rFonts w:asciiTheme="minorEastAsia" w:hAnsiTheme="minorEastAsia"/>
        </w:rPr>
        <w:t>重大安全隐患和未按要求进行整改的</w:t>
      </w:r>
      <w:r>
        <w:rPr>
          <w:rFonts w:hint="eastAsia" w:asciiTheme="minorEastAsia" w:hAnsiTheme="minorEastAsia"/>
        </w:rPr>
        <w:t>安全隐患</w:t>
      </w:r>
      <w:r>
        <w:rPr>
          <w:rFonts w:asciiTheme="minorEastAsia" w:hAnsiTheme="minorEastAsia"/>
        </w:rPr>
        <w:t>按公司</w:t>
      </w:r>
      <w:r>
        <w:rPr>
          <w:rFonts w:hint="eastAsia" w:asciiTheme="minorEastAsia" w:hAnsiTheme="minorEastAsia"/>
        </w:rPr>
        <w:t>程序进行汇报和处理；</w:t>
      </w:r>
    </w:p>
    <w:p>
      <w:pPr>
        <w:widowControl w:val="0"/>
        <w:adjustRightInd w:val="0"/>
        <w:snapToGrid w:val="0"/>
        <w:ind w:firstLine="480"/>
        <w:rPr>
          <w:rFonts w:asciiTheme="minorEastAsia" w:hAnsiTheme="minorEastAsia"/>
        </w:rPr>
      </w:pPr>
      <w:r>
        <w:rPr>
          <w:rFonts w:hint="eastAsia" w:asciiTheme="minorEastAsia" w:hAnsiTheme="minorEastAsia"/>
        </w:rPr>
        <w:t>（五）监督检查各项安全技术措施实施情况和安全技术交底活动，制止违章指挥和违章操作，遇到严重险情，有权暂停生产并组织人员撤离，及时报上级领导；</w:t>
      </w:r>
    </w:p>
    <w:p>
      <w:pPr>
        <w:widowControl w:val="0"/>
        <w:adjustRightInd w:val="0"/>
        <w:snapToGrid w:val="0"/>
        <w:ind w:firstLine="480"/>
        <w:rPr>
          <w:rFonts w:asciiTheme="minorEastAsia" w:hAnsiTheme="minorEastAsia"/>
        </w:rPr>
      </w:pPr>
      <w:r>
        <w:rPr>
          <w:rFonts w:hint="eastAsia" w:asciiTheme="minorEastAsia" w:hAnsiTheme="minorEastAsia"/>
        </w:rPr>
        <w:t>（六）协助项目部领导做好每周的定期安全检查工作，督促、指导、检查各施工班组、各专业队搞好班前、班后安全活动，总结、交流、推广安全生产经验；</w:t>
      </w:r>
    </w:p>
    <w:p>
      <w:pPr>
        <w:widowControl w:val="0"/>
        <w:adjustRightInd w:val="0"/>
        <w:snapToGrid w:val="0"/>
        <w:ind w:firstLine="480"/>
        <w:rPr>
          <w:rFonts w:asciiTheme="minorEastAsia" w:hAnsiTheme="minorEastAsia"/>
        </w:rPr>
      </w:pPr>
      <w:r>
        <w:rPr>
          <w:rFonts w:hint="eastAsia" w:asciiTheme="minorEastAsia" w:hAnsiTheme="minorEastAsia"/>
        </w:rPr>
        <w:t>（七）监督检查各类安全防护用品的安全性能及使用情况，监督检查特种作业人员持有效操作证件上岗；</w:t>
      </w:r>
    </w:p>
    <w:p>
      <w:pPr>
        <w:widowControl w:val="0"/>
        <w:adjustRightInd w:val="0"/>
        <w:snapToGrid w:val="0"/>
        <w:ind w:firstLine="480"/>
        <w:rPr>
          <w:rFonts w:asciiTheme="minorEastAsia" w:hAnsiTheme="minorEastAsia"/>
        </w:rPr>
      </w:pPr>
      <w:r>
        <w:rPr>
          <w:rFonts w:hint="eastAsia" w:asciiTheme="minorEastAsia" w:hAnsiTheme="minorEastAsia"/>
        </w:rPr>
        <w:t>（八）组织对进场设备、工器具进行安全性能验收；组织进行设备基础、机位、机棚的安全施工及验收；并建立设备管理台账。参与设备安全检查，对存在的问题进行纠正、落实，并及时反馈。督促、指导操作工人正确使用和保养设备；</w:t>
      </w:r>
    </w:p>
    <w:p>
      <w:pPr>
        <w:widowControl w:val="0"/>
        <w:adjustRightInd w:val="0"/>
        <w:snapToGrid w:val="0"/>
        <w:ind w:firstLine="480"/>
        <w:rPr>
          <w:rFonts w:asciiTheme="minorEastAsia" w:hAnsiTheme="minorEastAsia"/>
        </w:rPr>
      </w:pPr>
      <w:r>
        <w:rPr>
          <w:rFonts w:hint="eastAsia" w:asciiTheme="minorEastAsia" w:hAnsiTheme="minorEastAsia"/>
        </w:rPr>
        <w:t>（九）参加脚手架、模板搭设（拆除）等各种安全生产设施的验收工作；</w:t>
      </w:r>
    </w:p>
    <w:p>
      <w:pPr>
        <w:widowControl w:val="0"/>
        <w:adjustRightInd w:val="0"/>
        <w:snapToGrid w:val="0"/>
        <w:ind w:firstLine="480"/>
        <w:rPr>
          <w:rFonts w:asciiTheme="minorEastAsia" w:hAnsiTheme="minorEastAsia"/>
        </w:rPr>
      </w:pPr>
      <w:r>
        <w:rPr>
          <w:rFonts w:hint="eastAsia" w:asciiTheme="minorEastAsia" w:hAnsiTheme="minorEastAsia"/>
        </w:rPr>
        <w:t>（十）参加项目部已和未遂事故的调查分析，监督检查纠正和预防措施的实施；</w:t>
      </w:r>
    </w:p>
    <w:p>
      <w:pPr>
        <w:widowControl w:val="0"/>
        <w:adjustRightInd w:val="0"/>
        <w:snapToGrid w:val="0"/>
        <w:ind w:firstLine="480"/>
        <w:rPr>
          <w:rFonts w:asciiTheme="minorEastAsia" w:hAnsiTheme="minorEastAsia"/>
          <w:u w:val="single"/>
        </w:rPr>
      </w:pPr>
      <w:r>
        <w:rPr>
          <w:rFonts w:hint="eastAsia" w:asciiTheme="minorEastAsia" w:hAnsiTheme="minorEastAsia"/>
        </w:rPr>
        <w:t>（十一）按照国家相关标准要求，记录、收集、整理、保管各种安全资料。</w:t>
      </w:r>
    </w:p>
    <w:p>
      <w:pPr>
        <w:widowControl w:val="0"/>
        <w:adjustRightInd w:val="0"/>
        <w:snapToGrid w:val="0"/>
        <w:ind w:firstLine="482"/>
        <w:rPr>
          <w:rFonts w:asciiTheme="minorEastAsia" w:hAnsiTheme="minorEastAsia"/>
          <w:bCs/>
        </w:rPr>
      </w:pPr>
      <w:r>
        <w:rPr>
          <w:rFonts w:hint="eastAsia" w:asciiTheme="minorEastAsia" w:hAnsiTheme="minorEastAsia"/>
          <w:b/>
        </w:rPr>
        <w:t xml:space="preserve">第二十一条 </w:t>
      </w:r>
      <w:r>
        <w:rPr>
          <w:rFonts w:hint="eastAsia" w:asciiTheme="minorEastAsia" w:hAnsiTheme="minorEastAsia"/>
          <w:bCs/>
        </w:rPr>
        <w:t>施工员安全生产职责</w:t>
      </w:r>
    </w:p>
    <w:p>
      <w:pPr>
        <w:widowControl w:val="0"/>
        <w:adjustRightInd w:val="0"/>
        <w:snapToGrid w:val="0"/>
        <w:ind w:firstLine="480"/>
        <w:rPr>
          <w:rFonts w:asciiTheme="minorEastAsia" w:hAnsiTheme="minorEastAsia"/>
        </w:rPr>
      </w:pPr>
      <w:r>
        <w:rPr>
          <w:rFonts w:hint="eastAsia" w:asciiTheme="minorEastAsia" w:hAnsiTheme="minorEastAsia"/>
        </w:rPr>
        <w:t>（一）遵守国家有关的建筑工程安全生产法令、法规，认真执行项目的各项安全生产规章制度，对其所管工程项目的施工范围内的生产安全负直接责任；</w:t>
      </w:r>
    </w:p>
    <w:p>
      <w:pPr>
        <w:widowControl w:val="0"/>
        <w:adjustRightInd w:val="0"/>
        <w:snapToGrid w:val="0"/>
        <w:ind w:firstLine="480"/>
        <w:rPr>
          <w:rFonts w:asciiTheme="minorEastAsia" w:hAnsiTheme="minorEastAsia"/>
        </w:rPr>
      </w:pPr>
      <w:r>
        <w:rPr>
          <w:rFonts w:hint="eastAsia" w:asciiTheme="minorEastAsia" w:hAnsiTheme="minorEastAsia"/>
        </w:rPr>
        <w:t>（二）认真执行项目施工组织设计和安全技术措施，严格做到按图施工；贯彻项目安全管理目标，参加各项安全生产检查活动；</w:t>
      </w:r>
    </w:p>
    <w:p>
      <w:pPr>
        <w:widowControl w:val="0"/>
        <w:adjustRightInd w:val="0"/>
        <w:snapToGrid w:val="0"/>
        <w:ind w:firstLine="480"/>
        <w:rPr>
          <w:rFonts w:asciiTheme="minorEastAsia" w:hAnsiTheme="minorEastAsia"/>
        </w:rPr>
      </w:pPr>
      <w:r>
        <w:rPr>
          <w:rFonts w:hint="eastAsia" w:asciiTheme="minorEastAsia" w:hAnsiTheme="minorEastAsia"/>
        </w:rPr>
        <w:t>（三）认真落实各项安全防护设施，确保机、电、架和洞口临边安全防护设施的完整，负责临边的安全防护技术措施及脚手架、施工用电方案的落实；</w:t>
      </w:r>
    </w:p>
    <w:p>
      <w:pPr>
        <w:widowControl w:val="0"/>
        <w:adjustRightInd w:val="0"/>
        <w:snapToGrid w:val="0"/>
        <w:ind w:firstLine="480"/>
        <w:rPr>
          <w:rFonts w:asciiTheme="minorEastAsia" w:hAnsiTheme="minorEastAsia"/>
        </w:rPr>
      </w:pPr>
      <w:r>
        <w:rPr>
          <w:rFonts w:hint="eastAsia" w:asciiTheme="minorEastAsia" w:hAnsiTheme="minorEastAsia"/>
        </w:rPr>
        <w:t>（四）参与制订项目工程的安全管理目标，配合安全员做好日常安全管理工作，协助安全员对施工班组的安全监督；</w:t>
      </w:r>
    </w:p>
    <w:p>
      <w:pPr>
        <w:widowControl w:val="0"/>
        <w:adjustRightInd w:val="0"/>
        <w:snapToGrid w:val="0"/>
        <w:ind w:firstLine="480"/>
        <w:rPr>
          <w:rFonts w:asciiTheme="minorEastAsia" w:hAnsiTheme="minorEastAsia"/>
        </w:rPr>
      </w:pPr>
      <w:r>
        <w:rPr>
          <w:rFonts w:hint="eastAsia" w:asciiTheme="minorEastAsia" w:hAnsiTheme="minorEastAsia"/>
        </w:rPr>
        <w:t>（五）参与编制施工方案和作业指导书，配合技术负责人向班组及各工种作业人员进行安全技术交底；</w:t>
      </w:r>
    </w:p>
    <w:p>
      <w:pPr>
        <w:widowControl w:val="0"/>
        <w:adjustRightInd w:val="0"/>
        <w:snapToGrid w:val="0"/>
        <w:ind w:firstLine="480"/>
        <w:rPr>
          <w:rFonts w:asciiTheme="minorEastAsia" w:hAnsiTheme="minorEastAsia"/>
        </w:rPr>
      </w:pPr>
      <w:r>
        <w:rPr>
          <w:rFonts w:hint="eastAsia" w:asciiTheme="minorEastAsia" w:hAnsiTheme="minorEastAsia"/>
        </w:rPr>
        <w:t>（六）合理安排施工计划，现场巡回检查安全操作规程执行情况，对违章作业有权制止直至停工整改，及时处理上报施工中发生的安全技术问题；</w:t>
      </w:r>
    </w:p>
    <w:p>
      <w:pPr>
        <w:widowControl w:val="0"/>
        <w:adjustRightInd w:val="0"/>
        <w:snapToGrid w:val="0"/>
        <w:ind w:firstLine="480"/>
        <w:rPr>
          <w:rFonts w:asciiTheme="minorEastAsia" w:hAnsiTheme="minorEastAsia"/>
        </w:rPr>
      </w:pPr>
      <w:r>
        <w:rPr>
          <w:rFonts w:hint="eastAsia" w:asciiTheme="minorEastAsia" w:hAnsiTheme="minorEastAsia"/>
        </w:rPr>
        <w:t>（七）参加技术推广和应用中的安全管理工作；有权拒绝不科学、不安全、不文明施工的生产指令。</w:t>
      </w:r>
    </w:p>
    <w:p>
      <w:pPr>
        <w:widowControl w:val="0"/>
        <w:adjustRightInd w:val="0"/>
        <w:snapToGrid w:val="0"/>
        <w:ind w:firstLine="482"/>
        <w:rPr>
          <w:rFonts w:cs="宋体" w:asciiTheme="minorEastAsia" w:hAnsiTheme="minorEastAsia"/>
          <w:bCs/>
          <w:kern w:val="0"/>
        </w:rPr>
      </w:pPr>
      <w:r>
        <w:rPr>
          <w:rFonts w:hint="eastAsia" w:cs="宋体" w:asciiTheme="minorEastAsia" w:hAnsiTheme="minorEastAsia"/>
          <w:b/>
          <w:kern w:val="0"/>
        </w:rPr>
        <w:t xml:space="preserve">第二十二条 </w:t>
      </w:r>
      <w:r>
        <w:rPr>
          <w:rFonts w:hint="eastAsia" w:cs="宋体" w:asciiTheme="minorEastAsia" w:hAnsiTheme="minorEastAsia"/>
          <w:bCs/>
          <w:kern w:val="0"/>
        </w:rPr>
        <w:t>质量员安全生产职责</w:t>
      </w:r>
    </w:p>
    <w:p>
      <w:pPr>
        <w:widowControl w:val="0"/>
        <w:adjustRightInd w:val="0"/>
        <w:snapToGrid w:val="0"/>
        <w:ind w:firstLine="480"/>
        <w:rPr>
          <w:rFonts w:asciiTheme="minorEastAsia" w:hAnsiTheme="minorEastAsia"/>
        </w:rPr>
      </w:pPr>
      <w:r>
        <w:rPr>
          <w:rFonts w:hint="eastAsia" w:asciiTheme="minorEastAsia" w:hAnsiTheme="minorEastAsia"/>
        </w:rPr>
        <w:t>（一）遵守国家法令，执行上级有关安全生产规章制度，熟悉安全生产技术措施。对工程项目原材料及施工方面的质量问题导致的生产安全问题负直接责任；</w:t>
      </w:r>
    </w:p>
    <w:p>
      <w:pPr>
        <w:widowControl w:val="0"/>
        <w:adjustRightInd w:val="0"/>
        <w:snapToGrid w:val="0"/>
        <w:ind w:firstLine="480"/>
        <w:rPr>
          <w:rFonts w:asciiTheme="minorEastAsia" w:hAnsiTheme="minorEastAsia"/>
        </w:rPr>
      </w:pPr>
      <w:r>
        <w:rPr>
          <w:rFonts w:hint="eastAsia" w:asciiTheme="minorEastAsia" w:hAnsiTheme="minorEastAsia"/>
        </w:rPr>
        <w:t>（二）在质量监控的同时，顾及安全设施的状况与使用功能和各部位洞边防护状况，发现不佳之处，及时通知安全员，落实整改；</w:t>
      </w:r>
    </w:p>
    <w:p>
      <w:pPr>
        <w:widowControl w:val="0"/>
        <w:adjustRightInd w:val="0"/>
        <w:snapToGrid w:val="0"/>
        <w:ind w:firstLine="480"/>
        <w:rPr>
          <w:rFonts w:asciiTheme="minorEastAsia" w:hAnsiTheme="minorEastAsia"/>
        </w:rPr>
      </w:pPr>
      <w:r>
        <w:rPr>
          <w:rFonts w:hint="eastAsia" w:asciiTheme="minorEastAsia" w:hAnsiTheme="minorEastAsia"/>
        </w:rPr>
        <w:t>（三）深沟槽的支撑，应考虑安全系数，不准由于支撑质量不佳，引起坍塌，造成安全事故发生；</w:t>
      </w:r>
    </w:p>
    <w:p>
      <w:pPr>
        <w:widowControl w:val="0"/>
        <w:adjustRightInd w:val="0"/>
        <w:snapToGrid w:val="0"/>
        <w:ind w:firstLine="480"/>
        <w:rPr>
          <w:rFonts w:asciiTheme="minorEastAsia" w:hAnsiTheme="minorEastAsia"/>
        </w:rPr>
      </w:pPr>
      <w:r>
        <w:rPr>
          <w:rFonts w:hint="eastAsia" w:asciiTheme="minorEastAsia" w:hAnsiTheme="minorEastAsia"/>
        </w:rPr>
        <w:t>（四）在施工中，各种原材料和预制构件的质量应严格控制与验收，避免因质量不合格形成隐患，带来安全事故的发生；</w:t>
      </w:r>
    </w:p>
    <w:p>
      <w:pPr>
        <w:widowControl w:val="0"/>
        <w:adjustRightInd w:val="0"/>
        <w:snapToGrid w:val="0"/>
        <w:ind w:firstLine="480"/>
        <w:rPr>
          <w:rFonts w:asciiTheme="minorEastAsia" w:hAnsiTheme="minorEastAsia"/>
        </w:rPr>
      </w:pPr>
      <w:r>
        <w:rPr>
          <w:rFonts w:hint="eastAsia" w:asciiTheme="minorEastAsia" w:hAnsiTheme="minorEastAsia"/>
        </w:rPr>
        <w:t>（五）在质量监控过程中，发现安全隐患，立即通知安全员或工区项目经理，同时有权责令暂停施工，待处理好安全隐患后，再行施工。</w:t>
      </w:r>
    </w:p>
    <w:p>
      <w:pPr>
        <w:widowControl w:val="0"/>
        <w:adjustRightInd w:val="0"/>
        <w:snapToGrid w:val="0"/>
        <w:ind w:firstLine="482"/>
        <w:rPr>
          <w:rStyle w:val="25"/>
          <w:rFonts w:asciiTheme="minorEastAsia" w:hAnsiTheme="minorEastAsia"/>
          <w:b w:val="0"/>
          <w:bCs w:val="0"/>
          <w:color w:val="000000"/>
        </w:rPr>
      </w:pPr>
      <w:r>
        <w:rPr>
          <w:rStyle w:val="25"/>
          <w:rFonts w:hint="eastAsia" w:asciiTheme="minorEastAsia" w:hAnsiTheme="minorEastAsia"/>
          <w:color w:val="000000"/>
        </w:rPr>
        <w:t xml:space="preserve">第二十三条 </w:t>
      </w:r>
      <w:r>
        <w:rPr>
          <w:rStyle w:val="25"/>
          <w:rFonts w:asciiTheme="minorEastAsia" w:hAnsiTheme="minorEastAsia"/>
          <w:b w:val="0"/>
          <w:color w:val="000000"/>
        </w:rPr>
        <w:t>材料员安全生产</w:t>
      </w:r>
      <w:r>
        <w:rPr>
          <w:rStyle w:val="25"/>
          <w:rFonts w:hint="eastAsia" w:asciiTheme="minorEastAsia" w:hAnsiTheme="minorEastAsia"/>
          <w:b w:val="0"/>
          <w:color w:val="000000"/>
        </w:rPr>
        <w:t>职责</w:t>
      </w:r>
    </w:p>
    <w:p>
      <w:pPr>
        <w:widowControl w:val="0"/>
        <w:adjustRightInd w:val="0"/>
        <w:snapToGrid w:val="0"/>
        <w:ind w:firstLine="480"/>
        <w:rPr>
          <w:rFonts w:cs="宋体" w:asciiTheme="minorEastAsia" w:hAnsiTheme="minorEastAsia"/>
          <w:kern w:val="0"/>
        </w:rPr>
      </w:pPr>
      <w:r>
        <w:rPr>
          <w:rFonts w:hint="eastAsia" w:asciiTheme="minorEastAsia" w:hAnsiTheme="minorEastAsia"/>
        </w:rPr>
        <w:t>（一）</w:t>
      </w:r>
      <w:r>
        <w:rPr>
          <w:rFonts w:asciiTheme="minorEastAsia" w:hAnsiTheme="minorEastAsia"/>
        </w:rPr>
        <w:t>执行</w:t>
      </w:r>
      <w:r>
        <w:rPr>
          <w:rFonts w:hint="eastAsia" w:asciiTheme="minorEastAsia" w:hAnsiTheme="minorEastAsia"/>
        </w:rPr>
        <w:t>项目</w:t>
      </w:r>
      <w:r>
        <w:rPr>
          <w:rFonts w:asciiTheme="minorEastAsia" w:hAnsiTheme="minorEastAsia"/>
        </w:rPr>
        <w:t>及上级有关部门对材料及产品采购的制度和要求</w:t>
      </w:r>
      <w:r>
        <w:rPr>
          <w:rFonts w:hint="eastAsia" w:asciiTheme="minorEastAsia" w:hAnsiTheme="minorEastAsia"/>
        </w:rPr>
        <w:t>，</w:t>
      </w:r>
      <w:r>
        <w:rPr>
          <w:rFonts w:asciiTheme="minorEastAsia" w:hAnsiTheme="minorEastAsia"/>
        </w:rPr>
        <w:t>对</w:t>
      </w:r>
      <w:r>
        <w:rPr>
          <w:rFonts w:hint="eastAsia" w:asciiTheme="minorEastAsia" w:hAnsiTheme="minorEastAsia"/>
        </w:rPr>
        <w:t>进场</w:t>
      </w:r>
      <w:r>
        <w:rPr>
          <w:rFonts w:asciiTheme="minorEastAsia" w:hAnsiTheme="minorEastAsia"/>
        </w:rPr>
        <w:t>材料、产品的安全性负责。</w:t>
      </w:r>
      <w:r>
        <w:rPr>
          <w:rFonts w:hint="eastAsia" w:cs="宋体" w:asciiTheme="minorEastAsia" w:hAnsiTheme="minorEastAsia"/>
          <w:kern w:val="0"/>
        </w:rPr>
        <w:t>对工程项目进场材料质量、堆放问题导致的生产安全问题负直接责任；</w:t>
      </w:r>
    </w:p>
    <w:p>
      <w:pPr>
        <w:widowControl w:val="0"/>
        <w:adjustRightInd w:val="0"/>
        <w:snapToGrid w:val="0"/>
        <w:ind w:firstLine="480"/>
        <w:rPr>
          <w:rFonts w:asciiTheme="minorEastAsia" w:hAnsiTheme="minorEastAsia"/>
        </w:rPr>
      </w:pPr>
      <w:r>
        <w:rPr>
          <w:rFonts w:hint="eastAsia" w:asciiTheme="minorEastAsia" w:hAnsiTheme="minorEastAsia"/>
        </w:rPr>
        <w:t>（二）</w:t>
      </w:r>
      <w:r>
        <w:rPr>
          <w:rFonts w:asciiTheme="minorEastAsia" w:hAnsiTheme="minorEastAsia"/>
        </w:rPr>
        <w:t>对劳动保护用品和用于安全防护的产品及脚手架材料</w:t>
      </w:r>
      <w:r>
        <w:rPr>
          <w:rFonts w:hint="eastAsia" w:asciiTheme="minorEastAsia" w:hAnsiTheme="minorEastAsia"/>
        </w:rPr>
        <w:t>，</w:t>
      </w:r>
      <w:r>
        <w:rPr>
          <w:rFonts w:asciiTheme="minorEastAsia" w:hAnsiTheme="minorEastAsia"/>
        </w:rPr>
        <w:t>须严格审查其产品检验合格证和产品说明书及相关的技术资料</w:t>
      </w:r>
      <w:r>
        <w:rPr>
          <w:rFonts w:hint="eastAsia" w:asciiTheme="minorEastAsia" w:hAnsiTheme="minorEastAsia"/>
        </w:rPr>
        <w:t>，</w:t>
      </w:r>
      <w:r>
        <w:rPr>
          <w:rFonts w:asciiTheme="minorEastAsia" w:hAnsiTheme="minorEastAsia"/>
        </w:rPr>
        <w:t>并填报《</w:t>
      </w:r>
      <w:r>
        <w:rPr>
          <w:rFonts w:hint="eastAsia" w:asciiTheme="minorEastAsia" w:hAnsiTheme="minorEastAsia"/>
        </w:rPr>
        <w:t>材料进场</w:t>
      </w:r>
      <w:r>
        <w:rPr>
          <w:rFonts w:asciiTheme="minorEastAsia" w:hAnsiTheme="minorEastAsia"/>
        </w:rPr>
        <w:t>明细表》</w:t>
      </w:r>
      <w:r>
        <w:rPr>
          <w:rFonts w:hint="eastAsia" w:asciiTheme="minorEastAsia" w:hAnsiTheme="minorEastAsia"/>
        </w:rPr>
        <w:t>，</w:t>
      </w:r>
      <w:r>
        <w:rPr>
          <w:rFonts w:asciiTheme="minorEastAsia" w:hAnsiTheme="minorEastAsia"/>
        </w:rPr>
        <w:t>接受</w:t>
      </w:r>
      <w:r>
        <w:rPr>
          <w:rFonts w:hint="eastAsia" w:asciiTheme="minorEastAsia" w:hAnsiTheme="minorEastAsia"/>
        </w:rPr>
        <w:t>上级</w:t>
      </w:r>
      <w:r>
        <w:rPr>
          <w:rFonts w:asciiTheme="minorEastAsia" w:hAnsiTheme="minorEastAsia"/>
        </w:rPr>
        <w:t>部门监督检查</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（三）</w:t>
      </w:r>
      <w:r>
        <w:rPr>
          <w:rFonts w:asciiTheme="minorEastAsia" w:hAnsiTheme="minorEastAsia"/>
        </w:rPr>
        <w:t>对回收再利用的或租用的有关安全防护用品和脚手架材料</w:t>
      </w:r>
      <w:r>
        <w:rPr>
          <w:rFonts w:hint="eastAsia" w:asciiTheme="minorEastAsia" w:hAnsiTheme="minorEastAsia"/>
        </w:rPr>
        <w:t>，</w:t>
      </w:r>
      <w:r>
        <w:rPr>
          <w:rFonts w:asciiTheme="minorEastAsia" w:hAnsiTheme="minorEastAsia"/>
        </w:rPr>
        <w:t>须进行检验</w:t>
      </w:r>
      <w:r>
        <w:rPr>
          <w:rFonts w:hint="eastAsia" w:asciiTheme="minorEastAsia" w:hAnsiTheme="minorEastAsia"/>
        </w:rPr>
        <w:t>；</w:t>
      </w:r>
    </w:p>
    <w:p>
      <w:pPr>
        <w:widowControl w:val="0"/>
        <w:adjustRightInd w:val="0"/>
        <w:snapToGrid w:val="0"/>
        <w:ind w:firstLine="480"/>
        <w:rPr>
          <w:rFonts w:asciiTheme="minorEastAsia" w:hAnsiTheme="minorEastAsia"/>
        </w:rPr>
      </w:pPr>
      <w:r>
        <w:rPr>
          <w:rFonts w:hint="eastAsia" w:asciiTheme="minorEastAsia" w:hAnsiTheme="minorEastAsia"/>
        </w:rPr>
        <w:t>（四）</w:t>
      </w:r>
      <w:r>
        <w:rPr>
          <w:rFonts w:asciiTheme="minorEastAsia" w:hAnsiTheme="minorEastAsia"/>
        </w:rPr>
        <w:t>按</w:t>
      </w:r>
      <w:r>
        <w:fldChar w:fldCharType="begin"/>
      </w:r>
      <w:r>
        <w:instrText xml:space="preserve"> HYPERLINK "http://www.fdcew.com/Soft/jzsg/Index.html" \t "_blank" </w:instrText>
      </w:r>
      <w:r>
        <w:fldChar w:fldCharType="separate"/>
      </w:r>
      <w:r>
        <w:rPr>
          <w:rFonts w:asciiTheme="minorEastAsia" w:hAnsiTheme="minorEastAsia"/>
        </w:rPr>
        <w:t>施工</w:t>
      </w:r>
      <w:r>
        <w:rPr>
          <w:rFonts w:asciiTheme="minorEastAsia" w:hAnsiTheme="minorEastAsia"/>
        </w:rPr>
        <w:fldChar w:fldCharType="end"/>
      </w:r>
      <w:r>
        <w:rPr>
          <w:rFonts w:asciiTheme="minorEastAsia" w:hAnsiTheme="minorEastAsia"/>
        </w:rPr>
        <w:t>现场平面布置图和库房管理制度及材料码放标准</w:t>
      </w:r>
      <w:r>
        <w:rPr>
          <w:rFonts w:hint="eastAsia" w:asciiTheme="minorEastAsia" w:hAnsiTheme="minorEastAsia"/>
        </w:rPr>
        <w:t>，</w:t>
      </w:r>
      <w:r>
        <w:rPr>
          <w:rFonts w:asciiTheme="minorEastAsia" w:hAnsiTheme="minorEastAsia"/>
        </w:rPr>
        <w:t>做好材料的码放和存储</w:t>
      </w:r>
      <w:r>
        <w:rPr>
          <w:rFonts w:hint="eastAsia" w:asciiTheme="minorEastAsia" w:hAnsiTheme="minorEastAsia"/>
        </w:rPr>
        <w:t>，</w:t>
      </w:r>
      <w:r>
        <w:rPr>
          <w:rFonts w:asciiTheme="minorEastAsia" w:hAnsiTheme="minorEastAsia"/>
        </w:rPr>
        <w:t>保证安全</w:t>
      </w:r>
      <w:r>
        <w:rPr>
          <w:rFonts w:hint="eastAsia" w:asciiTheme="minorEastAsia" w:hAnsiTheme="minorEastAsia"/>
        </w:rPr>
        <w:t>；</w:t>
      </w:r>
    </w:p>
    <w:p>
      <w:pPr>
        <w:widowControl w:val="0"/>
        <w:adjustRightInd w:val="0"/>
        <w:snapToGrid w:val="0"/>
        <w:ind w:firstLine="480"/>
        <w:rPr>
          <w:rFonts w:asciiTheme="minorEastAsia" w:hAnsiTheme="minorEastAsia"/>
          <w:b/>
        </w:rPr>
      </w:pPr>
      <w:r>
        <w:rPr>
          <w:rFonts w:hint="eastAsia" w:asciiTheme="minorEastAsia" w:hAnsiTheme="minorEastAsia"/>
        </w:rPr>
        <w:t>（五）</w:t>
      </w:r>
      <w:r>
        <w:rPr>
          <w:rFonts w:asciiTheme="minorEastAsia" w:hAnsiTheme="minorEastAsia"/>
        </w:rPr>
        <w:t>贯彻落实</w:t>
      </w:r>
      <w:r>
        <w:rPr>
          <w:rFonts w:hint="eastAsia" w:asciiTheme="minorEastAsia" w:hAnsiTheme="minorEastAsia"/>
        </w:rPr>
        <w:t>浙江</w:t>
      </w:r>
      <w:r>
        <w:rPr>
          <w:rFonts w:asciiTheme="minorEastAsia" w:hAnsiTheme="minorEastAsia"/>
        </w:rPr>
        <w:t>省市有关部门、</w:t>
      </w:r>
      <w:r>
        <w:rPr>
          <w:rFonts w:hint="eastAsia" w:asciiTheme="minorEastAsia" w:hAnsiTheme="minorEastAsia"/>
        </w:rPr>
        <w:t>项目</w:t>
      </w:r>
      <w:r>
        <w:rPr>
          <w:rFonts w:asciiTheme="minorEastAsia" w:hAnsiTheme="minorEastAsia"/>
        </w:rPr>
        <w:t>创建达标与文明施工的管理标准</w:t>
      </w:r>
      <w:r>
        <w:rPr>
          <w:rFonts w:hint="eastAsia" w:asciiTheme="minorEastAsia" w:hAnsiTheme="minorEastAsia"/>
        </w:rPr>
        <w:t>，</w:t>
      </w:r>
      <w:r>
        <w:rPr>
          <w:rFonts w:asciiTheme="minorEastAsia" w:hAnsiTheme="minorEastAsia"/>
        </w:rPr>
        <w:t>参加创建达标与文明施工的检查</w:t>
      </w:r>
      <w:r>
        <w:rPr>
          <w:rFonts w:hint="eastAsia" w:asciiTheme="minorEastAsia" w:hAnsiTheme="minorEastAsia"/>
        </w:rPr>
        <w:t>，</w:t>
      </w:r>
      <w:r>
        <w:rPr>
          <w:rFonts w:asciiTheme="minorEastAsia" w:hAnsiTheme="minorEastAsia"/>
        </w:rPr>
        <w:t>对检查发现的库房管理及材料问题</w:t>
      </w:r>
      <w:r>
        <w:rPr>
          <w:rFonts w:hint="eastAsia" w:asciiTheme="minorEastAsia" w:hAnsiTheme="minorEastAsia"/>
        </w:rPr>
        <w:t>，</w:t>
      </w:r>
      <w:r>
        <w:rPr>
          <w:rFonts w:asciiTheme="minorEastAsia" w:hAnsiTheme="minorEastAsia"/>
        </w:rPr>
        <w:t>提出纠正措施</w:t>
      </w:r>
      <w:r>
        <w:rPr>
          <w:rFonts w:hint="eastAsia" w:asciiTheme="minorEastAsia" w:hAnsiTheme="minorEastAsia"/>
        </w:rPr>
        <w:t>，</w:t>
      </w:r>
      <w:r>
        <w:rPr>
          <w:rFonts w:asciiTheme="minorEastAsia" w:hAnsiTheme="minorEastAsia"/>
        </w:rPr>
        <w:t>并</w:t>
      </w:r>
      <w:r>
        <w:fldChar w:fldCharType="begin"/>
      </w:r>
      <w:r>
        <w:instrText xml:space="preserve"> HYPERLINK "http://www.fdcew.com/Soft/kfsj/Index.html" \t "_blank" </w:instrText>
      </w:r>
      <w:r>
        <w:fldChar w:fldCharType="separate"/>
      </w:r>
      <w:r>
        <w:rPr>
          <w:rFonts w:asciiTheme="minorEastAsia" w:hAnsiTheme="minorEastAsia"/>
        </w:rPr>
        <w:t>规范</w:t>
      </w:r>
      <w:r>
        <w:rPr>
          <w:rFonts w:asciiTheme="minorEastAsia" w:hAnsiTheme="minorEastAsia"/>
        </w:rPr>
        <w:fldChar w:fldCharType="end"/>
      </w:r>
      <w:r>
        <w:rPr>
          <w:rFonts w:asciiTheme="minorEastAsia" w:hAnsiTheme="minorEastAsia"/>
        </w:rPr>
        <w:t>相关的内业资料</w:t>
      </w:r>
      <w:r>
        <w:rPr>
          <w:rFonts w:hint="eastAsia" w:asciiTheme="minorEastAsia" w:hAnsiTheme="minorEastAsia"/>
        </w:rPr>
        <w:t>。</w:t>
      </w:r>
    </w:p>
    <w:p>
      <w:pPr>
        <w:widowControl w:val="0"/>
        <w:adjustRightInd w:val="0"/>
        <w:snapToGrid w:val="0"/>
        <w:ind w:firstLine="482"/>
        <w:rPr>
          <w:rFonts w:asciiTheme="minorEastAsia" w:hAnsiTheme="minorEastAsia"/>
          <w:bCs/>
        </w:rPr>
      </w:pPr>
      <w:r>
        <w:rPr>
          <w:rFonts w:hint="eastAsia" w:asciiTheme="minorEastAsia" w:hAnsiTheme="minorEastAsia"/>
          <w:b/>
        </w:rPr>
        <w:t xml:space="preserve">第二十四条 </w:t>
      </w:r>
      <w:r>
        <w:rPr>
          <w:rFonts w:hint="eastAsia" w:asciiTheme="minorEastAsia" w:hAnsiTheme="minorEastAsia"/>
          <w:bCs/>
        </w:rPr>
        <w:t>资料员安全生产职责</w:t>
      </w:r>
    </w:p>
    <w:p>
      <w:pPr>
        <w:widowControl w:val="0"/>
        <w:adjustRightInd w:val="0"/>
        <w:snapToGrid w:val="0"/>
        <w:ind w:firstLine="480"/>
        <w:rPr>
          <w:rFonts w:asciiTheme="minorEastAsia" w:hAnsiTheme="minorEastAsia"/>
        </w:rPr>
      </w:pPr>
      <w:r>
        <w:rPr>
          <w:rFonts w:hint="eastAsia" w:asciiTheme="minorEastAsia" w:hAnsiTheme="minorEastAsia"/>
        </w:rPr>
        <w:t>（一）认真贯彻、执行项目的安全管理目标，服从项目经理关于安全生产文明施工的工作安排；</w:t>
      </w:r>
    </w:p>
    <w:p>
      <w:pPr>
        <w:widowControl w:val="0"/>
        <w:adjustRightInd w:val="0"/>
        <w:snapToGrid w:val="0"/>
        <w:ind w:firstLine="480"/>
        <w:rPr>
          <w:rFonts w:asciiTheme="minorEastAsia" w:hAnsiTheme="minorEastAsia"/>
        </w:rPr>
      </w:pPr>
      <w:r>
        <w:rPr>
          <w:rFonts w:hint="eastAsia" w:asciiTheme="minorEastAsia" w:hAnsiTheme="minorEastAsia"/>
        </w:rPr>
        <w:t>（二）负责提醒质量员或项目技术负责人、施工员在编制相关施工方案、安全技术交底等文件时，要有针对性，要突出本工程的难点、重点；</w:t>
      </w:r>
    </w:p>
    <w:p>
      <w:pPr>
        <w:widowControl w:val="0"/>
        <w:adjustRightInd w:val="0"/>
        <w:snapToGrid w:val="0"/>
        <w:ind w:firstLine="480"/>
        <w:rPr>
          <w:rFonts w:asciiTheme="minorEastAsia" w:hAnsiTheme="minorEastAsia"/>
        </w:rPr>
      </w:pPr>
      <w:r>
        <w:rPr>
          <w:rFonts w:hint="eastAsia" w:asciiTheme="minorEastAsia" w:hAnsiTheme="minorEastAsia"/>
        </w:rPr>
        <w:t>（三）负责本工程各类技术性文件编制的及时性、科学性、合理性的，发现问题及时向相关人员提出，保证送交安全总监签字的文件是合格性文件；</w:t>
      </w:r>
    </w:p>
    <w:p>
      <w:pPr>
        <w:widowControl w:val="0"/>
        <w:adjustRightInd w:val="0"/>
        <w:snapToGrid w:val="0"/>
        <w:ind w:firstLine="480"/>
        <w:rPr>
          <w:rFonts w:asciiTheme="minorEastAsia" w:hAnsiTheme="minorEastAsia"/>
        </w:rPr>
      </w:pPr>
      <w:r>
        <w:rPr>
          <w:rFonts w:hint="eastAsia" w:asciiTheme="minorEastAsia" w:hAnsiTheme="minorEastAsia"/>
        </w:rPr>
        <w:t>（四）参与项目部安全生产活动。</w:t>
      </w:r>
    </w:p>
    <w:bookmarkEnd w:id="27"/>
    <w:bookmarkEnd w:id="28"/>
    <w:p>
      <w:pPr>
        <w:widowControl w:val="0"/>
        <w:ind w:firstLine="482"/>
        <w:rPr>
          <w:rFonts w:asciiTheme="minorEastAsia" w:hAnsiTheme="minorEastAsia"/>
        </w:rPr>
      </w:pPr>
      <w:r>
        <w:rPr>
          <w:rFonts w:hint="eastAsia" w:asciiTheme="minorEastAsia" w:hAnsiTheme="minorEastAsia"/>
          <w:b/>
        </w:rPr>
        <w:t xml:space="preserve">第二十五条 </w:t>
      </w:r>
      <w:r>
        <w:rPr>
          <w:rFonts w:hint="eastAsia" w:asciiTheme="minorEastAsia" w:hAnsiTheme="minorEastAsia"/>
        </w:rPr>
        <w:t>技术管理工程师安全生产职责</w:t>
      </w:r>
    </w:p>
    <w:p>
      <w:pPr>
        <w:widowControl w:val="0"/>
        <w:ind w:firstLine="480"/>
        <w:rPr>
          <w:rFonts w:asciiTheme="minorEastAsia" w:hAnsiTheme="minorEastAsia"/>
        </w:rPr>
      </w:pPr>
      <w:r>
        <w:rPr>
          <w:rFonts w:hint="eastAsia" w:asciiTheme="minorEastAsia" w:hAnsiTheme="minorEastAsia"/>
        </w:rPr>
        <w:t>（一）遵守国家法令，学习熟悉安全生产操作规程，执行上级安全部门的规章制度；</w:t>
      </w:r>
    </w:p>
    <w:p>
      <w:pPr>
        <w:widowControl w:val="0"/>
        <w:ind w:firstLine="480"/>
        <w:rPr>
          <w:rFonts w:asciiTheme="minorEastAsia" w:hAnsiTheme="minorEastAsia"/>
        </w:rPr>
      </w:pPr>
      <w:r>
        <w:rPr>
          <w:rFonts w:hint="eastAsia" w:asciiTheme="minorEastAsia" w:hAnsiTheme="minorEastAsia"/>
        </w:rPr>
        <w:t>（二）根据技术方案中的安全生产技术措施，提出技术实施方案和改进方案中的技术措施要求；</w:t>
      </w:r>
    </w:p>
    <w:p>
      <w:pPr>
        <w:widowControl w:val="0"/>
        <w:ind w:firstLine="480"/>
        <w:rPr>
          <w:rFonts w:asciiTheme="minorEastAsia" w:hAnsiTheme="minorEastAsia"/>
        </w:rPr>
      </w:pPr>
      <w:r>
        <w:rPr>
          <w:rFonts w:hint="eastAsia" w:asciiTheme="minorEastAsia" w:hAnsiTheme="minorEastAsia"/>
        </w:rPr>
        <w:t>（三）在审核安全生产技术措施时，发现不符合技术规范要求的，有权提出更改完善意见，使之完善纠正；</w:t>
      </w:r>
    </w:p>
    <w:p>
      <w:pPr>
        <w:widowControl w:val="0"/>
        <w:ind w:firstLine="480"/>
        <w:rPr>
          <w:rFonts w:asciiTheme="minorEastAsia" w:hAnsiTheme="minorEastAsia"/>
        </w:rPr>
      </w:pPr>
      <w:r>
        <w:rPr>
          <w:rFonts w:hint="eastAsia" w:asciiTheme="minorEastAsia" w:hAnsiTheme="minorEastAsia"/>
        </w:rPr>
        <w:t>（四）根据生产现场实际补充编制分项分类的安全技术措施，使之完善和充实；</w:t>
      </w:r>
    </w:p>
    <w:p>
      <w:pPr>
        <w:widowControl w:val="0"/>
        <w:ind w:firstLine="480"/>
        <w:rPr>
          <w:rFonts w:asciiTheme="minorEastAsia" w:hAnsiTheme="minorEastAsia"/>
        </w:rPr>
      </w:pPr>
      <w:r>
        <w:rPr>
          <w:rFonts w:hint="eastAsia" w:asciiTheme="minorEastAsia" w:hAnsiTheme="minorEastAsia"/>
        </w:rPr>
        <w:t>（五）在生产过程中，对现场安全生产有责任进行管理，发现隐患，有权督促纠正、整改，并通知下属企业跟踪落实整改；</w:t>
      </w:r>
    </w:p>
    <w:p>
      <w:pPr>
        <w:widowControl w:val="0"/>
        <w:ind w:firstLine="480"/>
        <w:rPr>
          <w:rFonts w:asciiTheme="minorEastAsia" w:hAnsiTheme="minorEastAsia"/>
        </w:rPr>
      </w:pPr>
      <w:r>
        <w:rPr>
          <w:rFonts w:hint="eastAsia" w:asciiTheme="minorEastAsia" w:hAnsiTheme="minorEastAsia"/>
        </w:rPr>
        <w:t>（六）对各建设项目施工设施和各类安全保护，防护物品，进行技术鉴定和提出结论性意见。</w:t>
      </w:r>
    </w:p>
    <w:p>
      <w:pPr>
        <w:widowControl w:val="0"/>
        <w:ind w:firstLine="482"/>
        <w:rPr>
          <w:rFonts w:asciiTheme="minorEastAsia" w:hAnsiTheme="minorEastAsia"/>
        </w:rPr>
      </w:pPr>
      <w:r>
        <w:rPr>
          <w:rFonts w:hint="eastAsia" w:asciiTheme="minorEastAsia" w:hAnsiTheme="minorEastAsia"/>
          <w:b/>
        </w:rPr>
        <w:t xml:space="preserve">第二十六条 </w:t>
      </w:r>
      <w:r>
        <w:rPr>
          <w:rFonts w:hint="eastAsia" w:asciiTheme="minorEastAsia" w:hAnsiTheme="minorEastAsia"/>
        </w:rPr>
        <w:t>安全管理工程师安全生产职责</w:t>
      </w:r>
    </w:p>
    <w:p>
      <w:pPr>
        <w:widowControl w:val="0"/>
        <w:ind w:firstLine="480"/>
        <w:rPr>
          <w:rFonts w:asciiTheme="minorEastAsia" w:hAnsiTheme="minorEastAsia"/>
        </w:rPr>
      </w:pPr>
      <w:r>
        <w:rPr>
          <w:rFonts w:hint="eastAsia" w:asciiTheme="minorEastAsia" w:hAnsiTheme="minorEastAsia"/>
        </w:rPr>
        <w:t>（一）组织或者参与拟订项目安全生产规章制度、操作规程和生产安全事故应急救援预案；</w:t>
      </w:r>
    </w:p>
    <w:p>
      <w:pPr>
        <w:widowControl w:val="0"/>
        <w:ind w:firstLine="480"/>
        <w:rPr>
          <w:rFonts w:asciiTheme="minorEastAsia" w:hAnsiTheme="minorEastAsia"/>
        </w:rPr>
      </w:pPr>
      <w:r>
        <w:rPr>
          <w:rFonts w:hint="eastAsia" w:asciiTheme="minorEastAsia" w:hAnsiTheme="minorEastAsia"/>
        </w:rPr>
        <w:t>（二）组织或者参与项目安全生产教育和培训，如实记录安全生产教育和培训情况；</w:t>
      </w:r>
    </w:p>
    <w:p>
      <w:pPr>
        <w:widowControl w:val="0"/>
        <w:ind w:firstLine="480"/>
        <w:rPr>
          <w:rFonts w:asciiTheme="minorEastAsia" w:hAnsiTheme="minorEastAsia"/>
        </w:rPr>
      </w:pPr>
      <w:r>
        <w:rPr>
          <w:rFonts w:hint="eastAsia" w:asciiTheme="minorEastAsia" w:hAnsiTheme="minorEastAsia"/>
        </w:rPr>
        <w:t>（三）督促落实重大危险源的安全管理措施；</w:t>
      </w:r>
    </w:p>
    <w:p>
      <w:pPr>
        <w:widowControl w:val="0"/>
        <w:ind w:firstLine="480"/>
        <w:rPr>
          <w:rFonts w:asciiTheme="minorEastAsia" w:hAnsiTheme="minorEastAsia"/>
        </w:rPr>
      </w:pPr>
      <w:r>
        <w:rPr>
          <w:rFonts w:hint="eastAsia" w:asciiTheme="minorEastAsia" w:hAnsiTheme="minorEastAsia"/>
        </w:rPr>
        <w:t>（四）组织或者参与项目应急救援演练；</w:t>
      </w:r>
    </w:p>
    <w:p>
      <w:pPr>
        <w:widowControl w:val="0"/>
        <w:ind w:firstLine="480"/>
        <w:rPr>
          <w:rFonts w:asciiTheme="minorEastAsia" w:hAnsiTheme="minorEastAsia"/>
        </w:rPr>
      </w:pPr>
      <w:r>
        <w:rPr>
          <w:rFonts w:hint="eastAsia" w:asciiTheme="minorEastAsia" w:hAnsiTheme="minorEastAsia"/>
        </w:rPr>
        <w:t>（五）检查工区及班组的安全生产状况，及时排查生产安全事故隐患，提出改进安全生产管理的建议；</w:t>
      </w:r>
    </w:p>
    <w:p>
      <w:pPr>
        <w:widowControl w:val="0"/>
        <w:ind w:firstLine="480"/>
        <w:rPr>
          <w:rFonts w:asciiTheme="minorEastAsia" w:hAnsiTheme="minorEastAsia"/>
        </w:rPr>
      </w:pPr>
      <w:r>
        <w:rPr>
          <w:rFonts w:hint="eastAsia" w:asciiTheme="minorEastAsia" w:hAnsiTheme="minorEastAsia"/>
        </w:rPr>
        <w:t>（六）制止和纠正违章指挥、强令冒险作业、违反操作规程的行为；</w:t>
      </w:r>
    </w:p>
    <w:p>
      <w:pPr>
        <w:widowControl w:val="0"/>
        <w:ind w:firstLine="480"/>
        <w:rPr>
          <w:rFonts w:asciiTheme="minorEastAsia" w:hAnsiTheme="minorEastAsia"/>
        </w:rPr>
      </w:pPr>
      <w:r>
        <w:rPr>
          <w:rFonts w:hint="eastAsia" w:asciiTheme="minorEastAsia" w:hAnsiTheme="minorEastAsia"/>
        </w:rPr>
        <w:t>（七）发生工伤事故，及时保护现场，组织抢救及立即上报总承包项目部。</w:t>
      </w:r>
    </w:p>
    <w:p>
      <w:pPr>
        <w:widowControl w:val="0"/>
        <w:ind w:firstLine="482"/>
        <w:rPr>
          <w:rFonts w:asciiTheme="minorEastAsia" w:hAnsiTheme="minorEastAsia"/>
          <w:b/>
        </w:rPr>
      </w:pPr>
      <w:r>
        <w:rPr>
          <w:rFonts w:hint="eastAsia" w:asciiTheme="minorEastAsia" w:hAnsiTheme="minorEastAsia"/>
          <w:b/>
          <w:bCs/>
        </w:rPr>
        <w:t xml:space="preserve">第二十七条 </w:t>
      </w:r>
      <w:r>
        <w:rPr>
          <w:rFonts w:hint="eastAsia" w:asciiTheme="minorEastAsia" w:hAnsiTheme="minorEastAsia"/>
        </w:rPr>
        <w:t>内业管理工程师安全生产职责</w:t>
      </w:r>
    </w:p>
    <w:p>
      <w:pPr>
        <w:widowControl w:val="0"/>
        <w:ind w:firstLine="480"/>
        <w:rPr>
          <w:rFonts w:asciiTheme="minorEastAsia" w:hAnsiTheme="minorEastAsia"/>
        </w:rPr>
      </w:pPr>
      <w:r>
        <w:rPr>
          <w:rFonts w:hint="eastAsia" w:asciiTheme="minorEastAsia" w:hAnsiTheme="minorEastAsia"/>
        </w:rPr>
        <w:t>（一）遵守国家法令，学习熟悉安全生产技术操作规程和安全资料的编制要求；</w:t>
      </w:r>
    </w:p>
    <w:p>
      <w:pPr>
        <w:widowControl w:val="0"/>
        <w:ind w:firstLine="480"/>
        <w:rPr>
          <w:rFonts w:asciiTheme="minorEastAsia" w:hAnsiTheme="minorEastAsia"/>
        </w:rPr>
      </w:pPr>
      <w:r>
        <w:rPr>
          <w:rFonts w:hint="eastAsia" w:asciiTheme="minorEastAsia" w:hAnsiTheme="minorEastAsia"/>
        </w:rPr>
        <w:t>（二）按时、按制度做好安全技术资料，确保真实完整；</w:t>
      </w:r>
    </w:p>
    <w:p>
      <w:pPr>
        <w:widowControl w:val="0"/>
        <w:ind w:firstLine="480"/>
        <w:rPr>
          <w:rFonts w:asciiTheme="minorEastAsia" w:hAnsiTheme="minorEastAsia"/>
        </w:rPr>
      </w:pPr>
      <w:r>
        <w:rPr>
          <w:rFonts w:hint="eastAsia" w:asciiTheme="minorEastAsia" w:hAnsiTheme="minorEastAsia"/>
        </w:rPr>
        <w:t>（三）配合安全管理工程师检查安全生产，做好记录，使安全资料符合实际；</w:t>
      </w:r>
    </w:p>
    <w:p>
      <w:pPr>
        <w:widowControl w:val="0"/>
        <w:ind w:firstLine="480"/>
        <w:rPr>
          <w:rFonts w:asciiTheme="minorEastAsia" w:hAnsiTheme="minorEastAsia"/>
        </w:rPr>
      </w:pPr>
      <w:r>
        <w:rPr>
          <w:rFonts w:hint="eastAsia" w:asciiTheme="minorEastAsia" w:hAnsiTheme="minorEastAsia"/>
        </w:rPr>
        <w:t>（四）坚持原则，杜绝作假，并可以报告上级处理。</w:t>
      </w:r>
    </w:p>
    <w:p>
      <w:pPr>
        <w:widowControl w:val="0"/>
        <w:adjustRightInd w:val="0"/>
        <w:snapToGrid w:val="0"/>
        <w:ind w:firstLine="361" w:firstLineChars="150"/>
        <w:rPr>
          <w:rFonts w:asciiTheme="minorEastAsia" w:hAnsiTheme="minorEastAsia"/>
          <w:bCs/>
        </w:rPr>
      </w:pPr>
      <w:r>
        <w:rPr>
          <w:rFonts w:hint="eastAsia" w:asciiTheme="minorEastAsia" w:hAnsiTheme="minorEastAsia"/>
          <w:b/>
        </w:rPr>
        <w:t xml:space="preserve">第二十八条 </w:t>
      </w:r>
      <w:r>
        <w:rPr>
          <w:rFonts w:hint="eastAsia" w:asciiTheme="minorEastAsia" w:hAnsiTheme="minorEastAsia"/>
          <w:bCs/>
        </w:rPr>
        <w:t>班组长安全生产责任</w:t>
      </w:r>
    </w:p>
    <w:p>
      <w:pPr>
        <w:widowControl w:val="0"/>
        <w:adjustRightInd w:val="0"/>
        <w:snapToGrid w:val="0"/>
        <w:ind w:firstLine="480"/>
        <w:rPr>
          <w:rFonts w:asciiTheme="minorEastAsia" w:hAnsiTheme="minorEastAsia"/>
        </w:rPr>
      </w:pPr>
      <w:r>
        <w:rPr>
          <w:rFonts w:hint="eastAsia" w:asciiTheme="minorEastAsia" w:hAnsiTheme="minorEastAsia"/>
        </w:rPr>
        <w:t>（一）班组长要模范遵守安全生产规章制度，领导本班组安全作业；</w:t>
      </w:r>
    </w:p>
    <w:p>
      <w:pPr>
        <w:widowControl w:val="0"/>
        <w:adjustRightInd w:val="0"/>
        <w:snapToGrid w:val="0"/>
        <w:ind w:firstLine="480"/>
        <w:rPr>
          <w:rFonts w:asciiTheme="minorEastAsia" w:hAnsiTheme="minorEastAsia"/>
        </w:rPr>
      </w:pPr>
      <w:r>
        <w:rPr>
          <w:rFonts w:hint="eastAsia" w:asciiTheme="minorEastAsia" w:hAnsiTheme="minorEastAsia"/>
        </w:rPr>
        <w:t>（二）贯彻执行总承包项目部和工区项目部的安全生产制度和要求，全面负责本班组</w:t>
      </w:r>
      <w:r>
        <w:rPr>
          <w:rFonts w:asciiTheme="minorEastAsia" w:hAnsiTheme="minorEastAsia"/>
        </w:rPr>
        <w:t>(</w:t>
      </w:r>
      <w:r>
        <w:rPr>
          <w:rFonts w:hint="eastAsia" w:asciiTheme="minorEastAsia" w:hAnsiTheme="minorEastAsia"/>
        </w:rPr>
        <w:t>工段</w:t>
      </w:r>
      <w:r>
        <w:rPr>
          <w:rFonts w:asciiTheme="minorEastAsia" w:hAnsiTheme="minorEastAsia"/>
        </w:rPr>
        <w:t>)</w:t>
      </w:r>
      <w:r>
        <w:rPr>
          <w:rFonts w:hint="eastAsia" w:asciiTheme="minorEastAsia" w:hAnsiTheme="minorEastAsia"/>
        </w:rPr>
        <w:t>的安全生产；</w:t>
      </w:r>
    </w:p>
    <w:p>
      <w:pPr>
        <w:widowControl w:val="0"/>
        <w:adjustRightInd w:val="0"/>
        <w:snapToGrid w:val="0"/>
        <w:ind w:firstLine="480"/>
        <w:rPr>
          <w:rFonts w:asciiTheme="minorEastAsia" w:hAnsiTheme="minorEastAsia"/>
        </w:rPr>
      </w:pPr>
      <w:r>
        <w:rPr>
          <w:rFonts w:hint="eastAsia" w:asciiTheme="minorEastAsia" w:hAnsiTheme="minorEastAsia"/>
        </w:rPr>
        <w:t>（三）组织职工学习并贯彻项目各项安全生产规章制度和安全技术操作规程，教育职工遵纪守法，制止违章行为；</w:t>
      </w:r>
    </w:p>
    <w:p>
      <w:pPr>
        <w:widowControl w:val="0"/>
        <w:adjustRightInd w:val="0"/>
        <w:snapToGrid w:val="0"/>
        <w:ind w:firstLine="480"/>
        <w:rPr>
          <w:rFonts w:asciiTheme="minorEastAsia" w:hAnsiTheme="minorEastAsia"/>
        </w:rPr>
      </w:pPr>
      <w:r>
        <w:rPr>
          <w:rFonts w:hint="eastAsia" w:asciiTheme="minorEastAsia" w:hAnsiTheme="minorEastAsia"/>
        </w:rPr>
        <w:t>（四）认真执行安全交底，有权拒绝违章指挥；</w:t>
      </w:r>
    </w:p>
    <w:p>
      <w:pPr>
        <w:widowControl w:val="0"/>
        <w:adjustRightInd w:val="0"/>
        <w:snapToGrid w:val="0"/>
        <w:ind w:firstLine="480"/>
        <w:rPr>
          <w:rFonts w:asciiTheme="minorEastAsia" w:hAnsiTheme="minorEastAsia"/>
        </w:rPr>
      </w:pPr>
      <w:r>
        <w:rPr>
          <w:rFonts w:hint="eastAsia" w:asciiTheme="minorEastAsia" w:hAnsiTheme="minorEastAsia"/>
        </w:rPr>
        <w:t>（五）班前要对所使用的机具、设备、防护用具及作业环境进行安全检查，发现问题立即采取改进措施；</w:t>
      </w:r>
    </w:p>
    <w:p>
      <w:pPr>
        <w:widowControl w:val="0"/>
        <w:adjustRightInd w:val="0"/>
        <w:snapToGrid w:val="0"/>
        <w:ind w:firstLine="480"/>
        <w:rPr>
          <w:rFonts w:asciiTheme="minorEastAsia" w:hAnsiTheme="minorEastAsia"/>
        </w:rPr>
      </w:pPr>
      <w:r>
        <w:rPr>
          <w:rFonts w:hint="eastAsia" w:asciiTheme="minorEastAsia" w:hAnsiTheme="minorEastAsia"/>
        </w:rPr>
        <w:t>（六）组织并参加安全活动，坚持班前讲安全、班中检查安全、班后总结安全；负责对新工人</w:t>
      </w:r>
      <w:r>
        <w:rPr>
          <w:rFonts w:asciiTheme="minorEastAsia" w:hAnsiTheme="minorEastAsia"/>
        </w:rPr>
        <w:t>(</w:t>
      </w:r>
      <w:r>
        <w:rPr>
          <w:rFonts w:hint="eastAsia" w:asciiTheme="minorEastAsia" w:hAnsiTheme="minorEastAsia"/>
        </w:rPr>
        <w:t>包括实习、转岗人员</w:t>
      </w:r>
      <w:r>
        <w:rPr>
          <w:rFonts w:asciiTheme="minorEastAsia" w:hAnsiTheme="minorEastAsia"/>
        </w:rPr>
        <w:t>)</w:t>
      </w:r>
      <w:r>
        <w:rPr>
          <w:rFonts w:hint="eastAsia" w:asciiTheme="minorEastAsia" w:hAnsiTheme="minorEastAsia"/>
        </w:rPr>
        <w:t>进行岗位安全教育；</w:t>
      </w:r>
    </w:p>
    <w:p>
      <w:pPr>
        <w:widowControl w:val="0"/>
        <w:adjustRightInd w:val="0"/>
        <w:snapToGrid w:val="0"/>
        <w:ind w:firstLine="480"/>
        <w:rPr>
          <w:rFonts w:asciiTheme="minorEastAsia" w:hAnsiTheme="minorEastAsia"/>
        </w:rPr>
      </w:pPr>
      <w:r>
        <w:rPr>
          <w:rFonts w:hint="eastAsia" w:asciiTheme="minorEastAsia" w:hAnsiTheme="minorEastAsia"/>
        </w:rPr>
        <w:t>（七）负责班组安全检查，发现不安全因素及时组织力量消除，并报告上级；发生事故立即报告，并组织抢救，保护好现场，做好详细记录；</w:t>
      </w:r>
    </w:p>
    <w:p>
      <w:pPr>
        <w:widowControl w:val="0"/>
        <w:adjustRightInd w:val="0"/>
        <w:snapToGrid w:val="0"/>
        <w:ind w:firstLine="480"/>
        <w:rPr>
          <w:rFonts w:asciiTheme="minorEastAsia" w:hAnsiTheme="minorEastAsia"/>
        </w:rPr>
      </w:pPr>
      <w:r>
        <w:rPr>
          <w:rFonts w:hint="eastAsia" w:asciiTheme="minorEastAsia" w:hAnsiTheme="minorEastAsia"/>
        </w:rPr>
        <w:t>（八）督促教育职工合理使用劳动保护用品、用具，正确使用灭火器；</w:t>
      </w:r>
    </w:p>
    <w:p>
      <w:pPr>
        <w:widowControl w:val="0"/>
        <w:adjustRightInd w:val="0"/>
        <w:snapToGrid w:val="0"/>
        <w:ind w:firstLine="480"/>
        <w:rPr>
          <w:rFonts w:asciiTheme="minorEastAsia" w:hAnsiTheme="minorEastAsia"/>
          <w:b/>
        </w:rPr>
      </w:pPr>
      <w:r>
        <w:rPr>
          <w:rFonts w:hint="eastAsia" w:asciiTheme="minorEastAsia" w:hAnsiTheme="minorEastAsia"/>
        </w:rPr>
        <w:t>（九）发生工伤事故要立即向项目部报告。</w:t>
      </w:r>
    </w:p>
    <w:p>
      <w:pPr>
        <w:widowControl w:val="0"/>
        <w:adjustRightInd w:val="0"/>
        <w:snapToGrid w:val="0"/>
        <w:ind w:firstLine="354" w:firstLineChars="147"/>
        <w:rPr>
          <w:rFonts w:asciiTheme="minorEastAsia" w:hAnsiTheme="minorEastAsia"/>
          <w:bCs/>
        </w:rPr>
      </w:pPr>
      <w:r>
        <w:rPr>
          <w:rFonts w:hint="eastAsia" w:asciiTheme="minorEastAsia" w:hAnsiTheme="minorEastAsia"/>
          <w:b/>
        </w:rPr>
        <w:t xml:space="preserve">第二十九条 </w:t>
      </w:r>
      <w:r>
        <w:rPr>
          <w:rFonts w:hint="eastAsia" w:asciiTheme="minorEastAsia" w:hAnsiTheme="minorEastAsia"/>
          <w:bCs/>
        </w:rPr>
        <w:t>工人安全生产责任</w:t>
      </w:r>
    </w:p>
    <w:p>
      <w:pPr>
        <w:widowControl w:val="0"/>
        <w:adjustRightInd w:val="0"/>
        <w:snapToGrid w:val="0"/>
        <w:ind w:firstLine="480"/>
        <w:rPr>
          <w:rFonts w:asciiTheme="minorEastAsia" w:hAnsiTheme="minorEastAsia"/>
        </w:rPr>
      </w:pPr>
      <w:r>
        <w:rPr>
          <w:rFonts w:hint="eastAsia" w:asciiTheme="minorEastAsia" w:hAnsiTheme="minorEastAsia"/>
        </w:rPr>
        <w:t>（一）认真学习和严格遵守各项规章制度，不违反劳动纪律，不违章作业，对本岗位的安全生产负直接责任；自觉参加三级安全教育培训；</w:t>
      </w:r>
    </w:p>
    <w:p>
      <w:pPr>
        <w:widowControl w:val="0"/>
        <w:adjustRightInd w:val="0"/>
        <w:snapToGrid w:val="0"/>
        <w:ind w:firstLine="480"/>
        <w:rPr>
          <w:rFonts w:asciiTheme="minorEastAsia" w:hAnsiTheme="minorEastAsia"/>
        </w:rPr>
      </w:pPr>
      <w:r>
        <w:rPr>
          <w:rFonts w:hint="eastAsia" w:asciiTheme="minorEastAsia" w:hAnsiTheme="minorEastAsia"/>
        </w:rPr>
        <w:t>（二）精心操作，严格执行安全技术操作规程，做好各项记录；交接班必须交接安全情况；</w:t>
      </w:r>
    </w:p>
    <w:p>
      <w:pPr>
        <w:widowControl w:val="0"/>
        <w:adjustRightInd w:val="0"/>
        <w:snapToGrid w:val="0"/>
        <w:ind w:firstLine="480"/>
        <w:rPr>
          <w:rFonts w:asciiTheme="minorEastAsia" w:hAnsiTheme="minorEastAsia"/>
        </w:rPr>
      </w:pPr>
      <w:r>
        <w:rPr>
          <w:rFonts w:hint="eastAsia" w:asciiTheme="minorEastAsia" w:hAnsiTheme="minorEastAsia"/>
        </w:rPr>
        <w:t>（三）正确分析、判断和处理各种事故隐患，把事故消灭在萌</w:t>
      </w:r>
      <w:r>
        <w:rPr>
          <w:rFonts w:hint="eastAsia" w:asciiTheme="minorEastAsia" w:hAnsiTheme="minorEastAsia"/>
          <w:lang w:val="en-US" w:eastAsia="zh-CN"/>
        </w:rPr>
        <w:t>芽</w:t>
      </w:r>
      <w:r>
        <w:rPr>
          <w:rFonts w:hint="eastAsia" w:asciiTheme="minorEastAsia" w:hAnsiTheme="minorEastAsia"/>
        </w:rPr>
        <w:t>状态，如发生事故，要正确处理，及时、如实地向上级报告，并保护现场，作好详细记录；</w:t>
      </w:r>
    </w:p>
    <w:p>
      <w:pPr>
        <w:widowControl w:val="0"/>
        <w:adjustRightInd w:val="0"/>
        <w:snapToGrid w:val="0"/>
        <w:ind w:firstLine="480"/>
        <w:rPr>
          <w:rFonts w:asciiTheme="minorEastAsia" w:hAnsiTheme="minorEastAsia"/>
        </w:rPr>
      </w:pPr>
      <w:r>
        <w:rPr>
          <w:rFonts w:hint="eastAsia" w:asciiTheme="minorEastAsia" w:hAnsiTheme="minorEastAsia"/>
        </w:rPr>
        <w:t>（四）按时认真进行巡回检查，发现异常情况及时处理和报告；</w:t>
      </w:r>
    </w:p>
    <w:p>
      <w:pPr>
        <w:widowControl w:val="0"/>
        <w:adjustRightInd w:val="0"/>
        <w:snapToGrid w:val="0"/>
        <w:ind w:firstLine="480"/>
        <w:rPr>
          <w:rFonts w:asciiTheme="minorEastAsia" w:hAnsiTheme="minorEastAsia"/>
        </w:rPr>
      </w:pPr>
      <w:r>
        <w:rPr>
          <w:rFonts w:hint="eastAsia" w:asciiTheme="minorEastAsia" w:hAnsiTheme="minorEastAsia"/>
        </w:rPr>
        <w:t>（五）正确操作，精心维护设备，保持作业环境整洁，搞好文明生产；</w:t>
      </w:r>
    </w:p>
    <w:p>
      <w:pPr>
        <w:widowControl w:val="0"/>
        <w:adjustRightInd w:val="0"/>
        <w:snapToGrid w:val="0"/>
        <w:ind w:firstLine="480"/>
        <w:rPr>
          <w:rFonts w:asciiTheme="minorEastAsia" w:hAnsiTheme="minorEastAsia"/>
        </w:rPr>
      </w:pPr>
      <w:r>
        <w:rPr>
          <w:rFonts w:hint="eastAsia" w:asciiTheme="minorEastAsia" w:hAnsiTheme="minorEastAsia"/>
        </w:rPr>
        <w:t>（六）按制度着装，妥善保管和正确使用各种防护器具和灭火器材；</w:t>
      </w:r>
    </w:p>
    <w:p>
      <w:pPr>
        <w:widowControl w:val="0"/>
        <w:adjustRightInd w:val="0"/>
        <w:snapToGrid w:val="0"/>
        <w:ind w:firstLine="480"/>
        <w:rPr>
          <w:rFonts w:asciiTheme="minorEastAsia" w:hAnsiTheme="minorEastAsia"/>
        </w:rPr>
      </w:pPr>
      <w:r>
        <w:rPr>
          <w:rFonts w:hint="eastAsia" w:asciiTheme="minorEastAsia" w:hAnsiTheme="minorEastAsia"/>
        </w:rPr>
        <w:t>（七）积极参加各种安全活动；</w:t>
      </w:r>
    </w:p>
    <w:p>
      <w:pPr>
        <w:widowControl w:val="0"/>
        <w:adjustRightInd w:val="0"/>
        <w:snapToGrid w:val="0"/>
        <w:ind w:firstLine="480"/>
        <w:rPr>
          <w:rFonts w:asciiTheme="minorEastAsia" w:hAnsiTheme="minorEastAsia"/>
        </w:rPr>
      </w:pPr>
      <w:r>
        <w:rPr>
          <w:rFonts w:hint="eastAsia" w:asciiTheme="minorEastAsia" w:hAnsiTheme="minorEastAsia"/>
        </w:rPr>
        <w:t>（八）认真执行安全交底，不违章作业，服从安全人员的指导；</w:t>
      </w:r>
    </w:p>
    <w:p>
      <w:pPr>
        <w:widowControl w:val="0"/>
        <w:adjustRightInd w:val="0"/>
        <w:snapToGrid w:val="0"/>
        <w:ind w:firstLine="480"/>
        <w:rPr>
          <w:rFonts w:asciiTheme="minorEastAsia" w:hAnsiTheme="minorEastAsia"/>
        </w:rPr>
      </w:pPr>
      <w:r>
        <w:rPr>
          <w:rFonts w:hint="eastAsia" w:asciiTheme="minorEastAsia" w:hAnsiTheme="minorEastAsia"/>
        </w:rPr>
        <w:t>（九）有权拒绝违章作业的指令，对他人违章作业加以劝阻和制止；</w:t>
      </w:r>
    </w:p>
    <w:p>
      <w:pPr>
        <w:widowControl w:val="0"/>
        <w:adjustRightInd w:val="0"/>
        <w:snapToGrid w:val="0"/>
        <w:ind w:firstLine="480"/>
        <w:rPr>
          <w:rFonts w:ascii="宋体" w:hAnsi="宋体"/>
        </w:rPr>
      </w:pPr>
      <w:r>
        <w:rPr>
          <w:rFonts w:hint="eastAsia" w:asciiTheme="minorEastAsia" w:hAnsiTheme="minorEastAsia"/>
        </w:rPr>
        <w:t>（十）发扬团结友爱精神，在安全生产方面做好互相帮助、互相监督，对新工人要积极传授安全生产知识，维护一切安全设施和防护用具，做到正确使用，不准拆改。</w:t>
      </w:r>
    </w:p>
    <w:p>
      <w:pPr>
        <w:widowControl w:val="0"/>
        <w:ind w:firstLine="482"/>
        <w:rPr>
          <w:rFonts w:asciiTheme="minorEastAsia" w:hAnsiTheme="minorEastAsia"/>
          <w:b/>
        </w:rPr>
      </w:pPr>
      <w:r>
        <w:rPr>
          <w:rFonts w:hint="eastAsia" w:asciiTheme="minorEastAsia" w:hAnsiTheme="minorEastAsia"/>
          <w:b/>
        </w:rPr>
        <w:t>第三十条</w:t>
      </w:r>
      <w:r>
        <w:rPr>
          <w:rFonts w:hint="eastAsia" w:asciiTheme="minorEastAsia" w:hAnsiTheme="minorEastAsia"/>
        </w:rPr>
        <w:t xml:space="preserve"> 其他员工岗位安全生产职责</w:t>
      </w:r>
    </w:p>
    <w:p>
      <w:pPr>
        <w:widowControl w:val="0"/>
        <w:ind w:firstLine="480"/>
        <w:rPr>
          <w:rFonts w:asciiTheme="minorEastAsia" w:hAnsiTheme="minorEastAsia"/>
        </w:rPr>
      </w:pPr>
      <w:r>
        <w:rPr>
          <w:rFonts w:hint="eastAsia" w:asciiTheme="minorEastAsia" w:hAnsiTheme="minorEastAsia"/>
        </w:rPr>
        <w:t>（一）认真学习和自觉遵守国家有关安全生产法律、法规及项目安全生产管理制度、安全操作规程，对本岗位的安全生产负直接责任；</w:t>
      </w:r>
    </w:p>
    <w:p>
      <w:pPr>
        <w:widowControl w:val="0"/>
        <w:ind w:firstLine="480"/>
        <w:rPr>
          <w:rFonts w:asciiTheme="minorEastAsia" w:hAnsiTheme="minorEastAsia"/>
        </w:rPr>
      </w:pPr>
      <w:r>
        <w:rPr>
          <w:rFonts w:hint="eastAsia" w:asciiTheme="minorEastAsia" w:hAnsiTheme="minorEastAsia"/>
        </w:rPr>
        <w:t>（二）严格履行本职工作范围内的安全生产职责；</w:t>
      </w:r>
    </w:p>
    <w:p>
      <w:pPr>
        <w:widowControl w:val="0"/>
        <w:ind w:firstLine="480"/>
        <w:rPr>
          <w:rFonts w:asciiTheme="minorEastAsia" w:hAnsiTheme="minorEastAsia"/>
        </w:rPr>
      </w:pPr>
      <w:r>
        <w:rPr>
          <w:rFonts w:hint="eastAsia" w:asciiTheme="minorEastAsia" w:hAnsiTheme="minorEastAsia"/>
        </w:rPr>
        <w:t>（三）进入生产现场，正确佩戴、合理使用个体防护装备，遵守总承包项目部相关安全生产规章制度；</w:t>
      </w:r>
    </w:p>
    <w:p>
      <w:pPr>
        <w:widowControl w:val="0"/>
        <w:ind w:firstLine="480"/>
        <w:rPr>
          <w:rFonts w:asciiTheme="minorEastAsia" w:hAnsiTheme="minorEastAsia"/>
        </w:rPr>
      </w:pPr>
      <w:r>
        <w:rPr>
          <w:rFonts w:hint="eastAsia" w:asciiTheme="minorEastAsia" w:hAnsiTheme="minorEastAsia"/>
        </w:rPr>
        <w:t>（四）积极参加项目组织的安全生产教育和培训等各种活动，参与项目应急救援演练；</w:t>
      </w:r>
    </w:p>
    <w:p>
      <w:pPr>
        <w:widowControl w:val="0"/>
        <w:ind w:firstLine="480"/>
        <w:rPr>
          <w:rFonts w:asciiTheme="minorEastAsia" w:hAnsiTheme="minorEastAsia"/>
        </w:rPr>
      </w:pPr>
      <w:r>
        <w:rPr>
          <w:rFonts w:hint="eastAsia" w:asciiTheme="minorEastAsia" w:hAnsiTheme="minorEastAsia"/>
        </w:rPr>
        <w:t>（五）发现生产中的违章违规行为要及时制止；</w:t>
      </w:r>
    </w:p>
    <w:p>
      <w:pPr>
        <w:widowControl w:val="0"/>
        <w:ind w:firstLine="480"/>
        <w:rPr>
          <w:rFonts w:asciiTheme="minorEastAsia" w:hAnsiTheme="minorEastAsia"/>
        </w:rPr>
      </w:pPr>
      <w:r>
        <w:rPr>
          <w:rFonts w:hint="eastAsia" w:asciiTheme="minorEastAsia" w:hAnsiTheme="minorEastAsia"/>
        </w:rPr>
        <w:t>（六）督促自己所管业务范围危险源的安全管理措施的有效落实；</w:t>
      </w:r>
    </w:p>
    <w:p>
      <w:pPr>
        <w:widowControl w:val="0"/>
        <w:ind w:firstLine="480"/>
        <w:rPr>
          <w:rFonts w:asciiTheme="minorEastAsia" w:hAnsiTheme="minorEastAsia"/>
        </w:rPr>
      </w:pPr>
      <w:r>
        <w:rPr>
          <w:rFonts w:hint="eastAsia" w:asciiTheme="minorEastAsia" w:hAnsiTheme="minorEastAsia"/>
        </w:rPr>
        <w:t>（七）发生事故要果断、正确处理，及时如实地向工区项目部/总承包项目部领导报告，保护好现场，并积极参加事故抢险。</w:t>
      </w:r>
    </w:p>
    <w:p>
      <w:pPr>
        <w:pStyle w:val="3"/>
        <w:widowControl w:val="0"/>
      </w:pPr>
      <w:bookmarkStart w:id="30" w:name="_Toc441389423"/>
      <w:bookmarkStart w:id="31" w:name="_Toc9237"/>
      <w:bookmarkStart w:id="32" w:name="_Toc438135767"/>
      <w:bookmarkStart w:id="33" w:name="_Toc13144"/>
      <w:bookmarkStart w:id="34" w:name="_Toc510164276"/>
      <w:r>
        <w:rPr>
          <w:rFonts w:hint="eastAsia"/>
        </w:rPr>
        <w:t>第六章 安全生产责任的监督考核</w:t>
      </w:r>
      <w:bookmarkEnd w:id="30"/>
      <w:bookmarkEnd w:id="31"/>
      <w:bookmarkEnd w:id="32"/>
      <w:bookmarkEnd w:id="33"/>
      <w:bookmarkEnd w:id="34"/>
    </w:p>
    <w:p>
      <w:pPr>
        <w:widowControl w:val="0"/>
        <w:adjustRightInd w:val="0"/>
        <w:snapToGrid w:val="0"/>
        <w:ind w:firstLine="482"/>
        <w:rPr>
          <w:rFonts w:ascii="宋体" w:hAnsi="宋体"/>
        </w:rPr>
      </w:pPr>
      <w:r>
        <w:rPr>
          <w:rFonts w:hint="eastAsia" w:ascii="宋体" w:hAnsi="宋体"/>
          <w:b/>
        </w:rPr>
        <w:t xml:space="preserve">第三十一条 </w:t>
      </w:r>
      <w:r>
        <w:rPr>
          <w:rFonts w:hint="eastAsia" w:ascii="宋体" w:hAnsi="宋体"/>
        </w:rPr>
        <w:t>各部门负责人是本部门安全生产及相关业务活动的第一责任人。</w:t>
      </w:r>
      <w:bookmarkStart w:id="35" w:name="_Hlk524969852"/>
      <w:r>
        <w:rPr>
          <w:rFonts w:hint="eastAsia" w:ascii="宋体" w:hAnsi="宋体"/>
          <w:color w:val="000000"/>
        </w:rPr>
        <w:t>每年初</w:t>
      </w:r>
      <w:r>
        <w:rPr>
          <w:rFonts w:hint="eastAsia" w:ascii="宋体" w:hAnsi="宋体"/>
        </w:rPr>
        <w:t>总承包项目部项目经理与各部门负责人签订年度安全生产责任书。</w:t>
      </w:r>
      <w:bookmarkEnd w:id="35"/>
      <w:r>
        <w:rPr>
          <w:rFonts w:hint="eastAsia" w:ascii="宋体" w:hAnsi="宋体"/>
        </w:rPr>
        <w:t>各工区负责人是本工区安全生产及相关业务活动的第一责任人，</w:t>
      </w:r>
      <w:r>
        <w:rPr>
          <w:rFonts w:hint="eastAsia" w:ascii="宋体" w:hAnsi="宋体"/>
          <w:color w:val="000000"/>
        </w:rPr>
        <w:t>每年初</w:t>
      </w:r>
      <w:r>
        <w:rPr>
          <w:rFonts w:hint="eastAsia" w:ascii="宋体" w:hAnsi="宋体"/>
        </w:rPr>
        <w:t>总承包项目部项目经理与各工区负责人签订年度安全生产责任书。</w:t>
      </w:r>
    </w:p>
    <w:p>
      <w:pPr>
        <w:widowControl w:val="0"/>
        <w:adjustRightInd w:val="0"/>
        <w:snapToGrid w:val="0"/>
        <w:ind w:firstLine="482"/>
        <w:rPr>
          <w:rFonts w:asciiTheme="minorEastAsia" w:hAnsiTheme="minorEastAsia"/>
        </w:rPr>
      </w:pPr>
      <w:r>
        <w:rPr>
          <w:rFonts w:hint="eastAsia" w:asciiTheme="minorEastAsia" w:hAnsiTheme="minorEastAsia"/>
          <w:b/>
          <w:bCs/>
        </w:rPr>
        <w:t xml:space="preserve">第三十二条 </w:t>
      </w:r>
      <w:bookmarkStart w:id="36" w:name="_Hlk524969970"/>
      <w:r>
        <w:rPr>
          <w:rFonts w:hint="eastAsia" w:asciiTheme="minorEastAsia" w:hAnsiTheme="minorEastAsia"/>
        </w:rPr>
        <w:t>总承包项目部每季度组织一次安全生产责任制执行情况检查，</w:t>
      </w:r>
      <w:bookmarkEnd w:id="36"/>
      <w:r>
        <w:rPr>
          <w:rFonts w:hint="eastAsia" w:asciiTheme="minorEastAsia" w:hAnsiTheme="minorEastAsia"/>
        </w:rPr>
        <w:t>对不履行安全生产职责的部门及工区负责人、岗位责任人按照相关制度处罚。</w:t>
      </w:r>
    </w:p>
    <w:p>
      <w:pPr>
        <w:widowControl w:val="0"/>
        <w:ind w:firstLine="482"/>
        <w:rPr>
          <w:rFonts w:asciiTheme="minorEastAsia" w:hAnsiTheme="minorEastAsia"/>
        </w:rPr>
      </w:pPr>
      <w:r>
        <w:rPr>
          <w:rFonts w:hint="eastAsia" w:asciiTheme="minorEastAsia" w:hAnsiTheme="minorEastAsia"/>
          <w:b/>
        </w:rPr>
        <w:t xml:space="preserve">第三十三条 </w:t>
      </w:r>
      <w:r>
        <w:rPr>
          <w:rFonts w:hint="eastAsia" w:asciiTheme="minorEastAsia" w:hAnsiTheme="minorEastAsia"/>
        </w:rPr>
        <w:t>总承包项目部每季度组织一次安全生产责任制执行情况检查，，检查情况及时通报，适时挂牌督办。</w:t>
      </w:r>
    </w:p>
    <w:p>
      <w:pPr>
        <w:widowControl w:val="0"/>
        <w:ind w:firstLine="482"/>
        <w:rPr>
          <w:rFonts w:asciiTheme="minorEastAsia" w:hAnsiTheme="minorEastAsia"/>
        </w:rPr>
      </w:pPr>
      <w:r>
        <w:rPr>
          <w:rFonts w:hint="eastAsia" w:asciiTheme="minorEastAsia" w:hAnsiTheme="minorEastAsia"/>
          <w:b/>
        </w:rPr>
        <w:t xml:space="preserve">第三十四条 </w:t>
      </w:r>
      <w:r>
        <w:rPr>
          <w:rFonts w:hint="eastAsia" w:asciiTheme="minorEastAsia" w:hAnsiTheme="minorEastAsia"/>
        </w:rPr>
        <w:t>对不履行安全生产职责造成重大安全生产事故的责任部门及工区负责人、岗位责任人，将按照相关制度，予以责任追究。</w:t>
      </w:r>
    </w:p>
    <w:p>
      <w:pPr>
        <w:pStyle w:val="3"/>
        <w:widowControl w:val="0"/>
      </w:pPr>
      <w:bookmarkStart w:id="37" w:name="_Toc438135768"/>
      <w:bookmarkStart w:id="38" w:name="_Toc2114"/>
      <w:bookmarkStart w:id="39" w:name="_Toc510164277"/>
      <w:bookmarkStart w:id="40" w:name="_Toc16992"/>
      <w:bookmarkStart w:id="41" w:name="_Toc441389424"/>
      <w:r>
        <w:rPr>
          <w:rFonts w:hint="eastAsia"/>
        </w:rPr>
        <w:t>第七章 附则</w:t>
      </w:r>
      <w:bookmarkEnd w:id="37"/>
      <w:bookmarkEnd w:id="38"/>
      <w:bookmarkEnd w:id="39"/>
      <w:bookmarkEnd w:id="40"/>
      <w:bookmarkEnd w:id="41"/>
    </w:p>
    <w:p>
      <w:pPr>
        <w:widowControl w:val="0"/>
        <w:ind w:firstLine="482"/>
        <w:rPr>
          <w:rFonts w:asciiTheme="minorEastAsia" w:hAnsiTheme="minorEastAsia"/>
        </w:rPr>
      </w:pPr>
      <w:r>
        <w:rPr>
          <w:rFonts w:hint="eastAsia" w:asciiTheme="minorEastAsia" w:hAnsiTheme="minorEastAsia"/>
          <w:b/>
        </w:rPr>
        <w:t xml:space="preserve">第三十五条 </w:t>
      </w:r>
      <w:r>
        <w:rPr>
          <w:rFonts w:hint="eastAsia" w:asciiTheme="minorEastAsia" w:hAnsiTheme="minorEastAsia"/>
        </w:rPr>
        <w:t>本制度由安质环保部负责解释及修订。</w:t>
      </w:r>
    </w:p>
    <w:p>
      <w:pPr>
        <w:widowControl w:val="0"/>
        <w:ind w:firstLine="482"/>
        <w:rPr>
          <w:rFonts w:asciiTheme="minorEastAsia" w:hAnsiTheme="minorEastAsia"/>
        </w:rPr>
      </w:pPr>
      <w:r>
        <w:rPr>
          <w:rFonts w:hint="eastAsia" w:asciiTheme="minorEastAsia" w:hAnsiTheme="minorEastAsia"/>
          <w:b/>
        </w:rPr>
        <w:t>第三十六条</w:t>
      </w:r>
      <w:r>
        <w:rPr>
          <w:rFonts w:hint="eastAsia" w:asciiTheme="minorEastAsia" w:hAnsiTheme="minorEastAsia"/>
        </w:rPr>
        <w:t xml:space="preserve"> 本制度自发布之日起实施。</w:t>
      </w:r>
    </w:p>
    <w:p>
      <w:pPr>
        <w:widowControl w:val="0"/>
        <w:ind w:firstLine="482"/>
        <w:rPr>
          <w:rFonts w:asciiTheme="minorEastAsia" w:hAnsiTheme="minorEastAsia"/>
        </w:rPr>
      </w:pPr>
      <w:r>
        <w:rPr>
          <w:rFonts w:hint="eastAsia" w:asciiTheme="minorEastAsia" w:hAnsiTheme="minorEastAsia"/>
          <w:b/>
        </w:rPr>
        <w:t>附件1：</w:t>
      </w:r>
      <w:r>
        <w:rPr>
          <w:rFonts w:asciiTheme="minorEastAsia" w:hAnsiTheme="minorEastAsia"/>
        </w:rPr>
        <w:t>安全组织机构框图</w:t>
      </w:r>
    </w:p>
    <w:p>
      <w:pPr>
        <w:widowControl w:val="0"/>
        <w:ind w:firstLine="482"/>
        <w:rPr>
          <w:rFonts w:asciiTheme="minorEastAsia" w:hAnsiTheme="minorEastAsia"/>
          <w:b/>
          <w:bCs/>
        </w:rPr>
      </w:pPr>
      <w:r>
        <w:rPr>
          <w:rFonts w:hint="eastAsia" w:asciiTheme="minorEastAsia" w:hAnsiTheme="minorEastAsia"/>
          <w:b/>
          <w:bCs/>
        </w:rPr>
        <w:t>附件</w:t>
      </w:r>
      <w:r>
        <w:rPr>
          <w:rFonts w:asciiTheme="minorEastAsia" w:hAnsiTheme="minorEastAsia"/>
          <w:b/>
          <w:bCs/>
        </w:rPr>
        <w:t>2</w:t>
      </w:r>
      <w:r>
        <w:rPr>
          <w:rFonts w:hint="eastAsia" w:asciiTheme="minorEastAsia" w:hAnsiTheme="minorEastAsia"/>
          <w:b/>
          <w:bCs/>
        </w:rPr>
        <w:t>：</w:t>
      </w:r>
      <w:r>
        <w:rPr>
          <w:rFonts w:hint="eastAsia" w:asciiTheme="minorEastAsia" w:hAnsiTheme="minorEastAsia"/>
        </w:rPr>
        <w:t>安全保证体系</w:t>
      </w: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r>
        <w:rPr>
          <w:rFonts w:hint="eastAsia" w:asciiTheme="minorEastAsia" w:hAnsiTheme="minorEastAsia"/>
          <w:b/>
          <w:bCs/>
        </w:rPr>
        <w:t>附件1</w:t>
      </w: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r>
        <w:rPr>
          <w:rFonts w:hint="eastAsia" w:eastAsia="宋体"/>
        </w:rPr>
        <w:object>
          <v:shape id="_x0000_i1025" o:spt="75" type="#_x0000_t75" style="height:407.25pt;width:405.75pt;" o:ole="t" filled="f" o:preferrelative="t" stroked="f" coordsize="21600,21600">
            <v:path/>
            <v:fill on="f" focussize="0,0"/>
            <v:stroke on="f" joinstyle="miter"/>
            <v:imagedata r:id="rId28" o:title=""/>
            <o:lock v:ext="edit" aspectratio="f"/>
            <w10:wrap type="none"/>
            <w10:anchorlock/>
          </v:shape>
          <o:OLEObject Type="Embed" ProgID="Visio.Drawing.15" ShapeID="_x0000_i1025" DrawAspect="Content" ObjectID="_1468075725" r:id="rId27">
            <o:LockedField>false</o:LockedField>
          </o:OLEObject>
        </w:object>
      </w: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p>
    <w:p>
      <w:pPr>
        <w:widowControl w:val="0"/>
        <w:ind w:firstLine="0" w:firstLineChars="0"/>
        <w:rPr>
          <w:rFonts w:asciiTheme="minorEastAsia" w:hAnsiTheme="minorEastAsia"/>
          <w:b/>
          <w:bCs/>
        </w:rPr>
      </w:pPr>
      <w:r>
        <w:rPr>
          <w:rFonts w:hint="eastAsia" w:asciiTheme="minorEastAsia" w:hAnsiTheme="minorEastAsia"/>
          <w:b/>
          <w:bCs/>
        </w:rPr>
        <w:t>附件</w:t>
      </w:r>
      <w:r>
        <w:rPr>
          <w:rFonts w:asciiTheme="minorEastAsia" w:hAnsiTheme="minorEastAsia"/>
          <w:b/>
          <w:bCs/>
        </w:rPr>
        <w:t>2</w:t>
      </w:r>
    </w:p>
    <w:p>
      <w:pPr>
        <w:widowControl w:val="0"/>
        <w:ind w:firstLine="482"/>
        <w:rPr>
          <w:rFonts w:asciiTheme="minorEastAsia" w:hAnsiTheme="minorEastAsia"/>
        </w:rPr>
      </w:pPr>
      <w:r>
        <w:rPr>
          <w:rFonts w:ascii="宋体" w:hAnsi="宋体" w:eastAsia="宋体" w:cs="Calibri"/>
          <w:b/>
          <w:bCs/>
          <w:szCs w:val="21"/>
        </w:rPr>
        <mc:AlternateContent>
          <mc:Choice Requires="wpg">
            <w:drawing>
              <wp:anchor distT="0" distB="0" distL="114300" distR="114300" simplePos="0" relativeHeight="251669504" behindDoc="0" locked="0" layoutInCell="1" allowOverlap="1">
                <wp:simplePos x="0" y="0"/>
                <wp:positionH relativeFrom="column">
                  <wp:posOffset>-102870</wp:posOffset>
                </wp:positionH>
                <wp:positionV relativeFrom="paragraph">
                  <wp:posOffset>760095</wp:posOffset>
                </wp:positionV>
                <wp:extent cx="5485130" cy="7355840"/>
                <wp:effectExtent l="0" t="0" r="20320" b="16510"/>
                <wp:wrapNone/>
                <wp:docPr id="12" name="Group 228"/>
                <wp:cNvGraphicFramePr/>
                <a:graphic xmlns:a="http://schemas.openxmlformats.org/drawingml/2006/main">
                  <a:graphicData uri="http://schemas.microsoft.com/office/word/2010/wordprocessingGroup">
                    <wpg:wgp>
                      <wpg:cNvGrpSpPr/>
                      <wpg:grpSpPr>
                        <a:xfrm>
                          <a:off x="0" y="0"/>
                          <a:ext cx="5485130" cy="7355840"/>
                          <a:chOff x="1681" y="3088"/>
                          <a:chExt cx="8638" cy="11584"/>
                        </a:xfrm>
                      </wpg:grpSpPr>
                      <wps:wsp>
                        <wps:cNvPr id="13" name="Line 229"/>
                        <wps:cNvCnPr>
                          <a:cxnSpLocks noChangeShapeType="1"/>
                        </wps:cNvCnPr>
                        <wps:spPr bwMode="auto">
                          <a:xfrm>
                            <a:off x="7135" y="4113"/>
                            <a:ext cx="0" cy="7141"/>
                          </a:xfrm>
                          <a:prstGeom prst="line">
                            <a:avLst/>
                          </a:prstGeom>
                          <a:noFill/>
                          <a:ln w="9525">
                            <a:solidFill>
                              <a:srgbClr val="000000"/>
                            </a:solidFill>
                            <a:round/>
                          </a:ln>
                        </wps:spPr>
                        <wps:bodyPr/>
                      </wps:wsp>
                      <wpg:grpSp>
                        <wpg:cNvPr id="14" name="Group 230"/>
                        <wpg:cNvGrpSpPr/>
                        <wpg:grpSpPr>
                          <a:xfrm>
                            <a:off x="1681" y="3088"/>
                            <a:ext cx="8638" cy="11584"/>
                            <a:chOff x="1681" y="3088"/>
                            <a:chExt cx="8638" cy="11584"/>
                          </a:xfrm>
                        </wpg:grpSpPr>
                        <wps:wsp>
                          <wps:cNvPr id="15" name="Text Box 231"/>
                          <wps:cNvSpPr txBox="1">
                            <a:spLocks noChangeArrowheads="1"/>
                          </wps:cNvSpPr>
                          <wps:spPr bwMode="auto">
                            <a:xfrm>
                              <a:off x="1681" y="11712"/>
                              <a:ext cx="8638" cy="2960"/>
                            </a:xfrm>
                            <a:prstGeom prst="rect">
                              <a:avLst/>
                            </a:prstGeom>
                            <a:solidFill>
                              <a:srgbClr val="FFFFFF"/>
                            </a:solidFill>
                            <a:ln w="9525">
                              <a:solidFill>
                                <a:srgbClr val="000000"/>
                              </a:solidFill>
                              <a:miter lim="800000"/>
                            </a:ln>
                          </wps:spPr>
                          <wps:txbx>
                            <w:txbxContent>
                              <w:p>
                                <w:pPr>
                                  <w:snapToGrid w:val="0"/>
                                  <w:ind w:firstLine="480"/>
                                  <w:jc w:val="left"/>
                                  <w:rPr>
                                    <w:rFonts w:ascii="宋体" w:hAnsi="宋体"/>
                                    <w:snapToGrid w:val="0"/>
                                    <w:kern w:val="0"/>
                                    <w:szCs w:val="21"/>
                                  </w:rPr>
                                </w:pPr>
                                <w:r>
                                  <w:rPr>
                                    <w:rFonts w:hint="eastAsia" w:ascii="宋体" w:hAnsi="宋体"/>
                                    <w:snapToGrid w:val="0"/>
                                    <w:kern w:val="0"/>
                                    <w:szCs w:val="21"/>
                                  </w:rPr>
                                  <w:t>实  施  目  标1、</w:t>
                                </w:r>
                                <w:r>
                                  <w:rPr>
                                    <w:rFonts w:hint="eastAsia" w:asciiTheme="minorEastAsia" w:hAnsiTheme="minorEastAsia"/>
                                  </w:rPr>
                                  <w:t>安全生产实现零重大安全责任事故（即不发生较大及以上安全生产责任事故，不发生一类火灾事故）、零新增现岗职业病，保护员工的生命和财产安全，维护员工的职业健康权益，让员工成为安全快乐有尊严的从业者，努力建设“平安中车”、“健康中车”。</w:t>
                                </w:r>
                              </w:p>
                              <w:p>
                                <w:pPr>
                                  <w:ind w:firstLine="480"/>
                                  <w:rPr>
                                    <w:rFonts w:ascii="宋体" w:hAnsi="宋体"/>
                                    <w:snapToGrid w:val="0"/>
                                    <w:kern w:val="0"/>
                                    <w:szCs w:val="21"/>
                                  </w:rPr>
                                </w:pPr>
                                <w:r>
                                  <w:rPr>
                                    <w:rFonts w:hint="eastAsia" w:ascii="宋体" w:hAnsi="宋体"/>
                                    <w:snapToGrid w:val="0"/>
                                    <w:kern w:val="0"/>
                                    <w:szCs w:val="21"/>
                                  </w:rPr>
                                  <w:t>2、“三创建”：</w:t>
                                </w:r>
                                <w:r>
                                  <w:rPr>
                                    <w:rFonts w:ascii="宋体" w:hAnsi="宋体"/>
                                    <w:snapToGrid w:val="0"/>
                                    <w:kern w:val="0"/>
                                    <w:szCs w:val="21"/>
                                  </w:rPr>
                                  <w:t>创建局安全标准</w:t>
                                </w:r>
                                <w:r>
                                  <w:rPr>
                                    <w:rFonts w:hint="eastAsia" w:ascii="宋体" w:hAnsi="宋体"/>
                                    <w:snapToGrid w:val="0"/>
                                    <w:kern w:val="0"/>
                                    <w:szCs w:val="21"/>
                                  </w:rPr>
                                  <w:t>化</w:t>
                                </w:r>
                                <w:r>
                                  <w:rPr>
                                    <w:rFonts w:ascii="宋体" w:hAnsi="宋体"/>
                                    <w:snapToGrid w:val="0"/>
                                    <w:kern w:val="0"/>
                                    <w:szCs w:val="21"/>
                                  </w:rPr>
                                  <w:t>工地；创建</w:t>
                                </w:r>
                                <w:r>
                                  <w:rPr>
                                    <w:rFonts w:hint="eastAsia" w:ascii="宋体" w:hAnsi="宋体"/>
                                    <w:snapToGrid w:val="0"/>
                                    <w:kern w:val="0"/>
                                    <w:szCs w:val="21"/>
                                  </w:rPr>
                                  <w:t>台州</w:t>
                                </w:r>
                                <w:r>
                                  <w:rPr>
                                    <w:rFonts w:ascii="宋体" w:hAnsi="宋体"/>
                                    <w:snapToGrid w:val="0"/>
                                    <w:kern w:val="0"/>
                                    <w:szCs w:val="21"/>
                                  </w:rPr>
                                  <w:t>市级安全文明标准工地；创建浙江省安全文明标准化工地</w:t>
                                </w:r>
                                <w:r>
                                  <w:rPr>
                                    <w:rFonts w:hint="eastAsia" w:ascii="宋体" w:hAnsi="宋体"/>
                                    <w:snapToGrid w:val="0"/>
                                    <w:kern w:val="0"/>
                                    <w:szCs w:val="21"/>
                                  </w:rPr>
                                  <w:t>。</w:t>
                                </w:r>
                              </w:p>
                              <w:p>
                                <w:pPr>
                                  <w:ind w:firstLine="480"/>
                                  <w:rPr>
                                    <w:rFonts w:ascii="宋体" w:hAnsi="宋体"/>
                                    <w:snapToGrid w:val="0"/>
                                    <w:kern w:val="0"/>
                                    <w:szCs w:val="21"/>
                                  </w:rPr>
                                </w:pPr>
                              </w:p>
                              <w:p>
                                <w:pPr>
                                  <w:pStyle w:val="51"/>
                                  <w:rPr>
                                    <w:rFonts w:ascii="宋体" w:eastAsia="宋体"/>
                                  </w:rPr>
                                </w:pPr>
                              </w:p>
                            </w:txbxContent>
                          </wps:txbx>
                          <wps:bodyPr rot="0" vert="horz" wrap="square" lIns="91440" tIns="36000" rIns="91440" bIns="0" anchor="t" anchorCtr="0" upright="1">
                            <a:noAutofit/>
                          </wps:bodyPr>
                        </wps:wsp>
                        <wps:wsp>
                          <wps:cNvPr id="16" name="Line 232"/>
                          <wps:cNvCnPr>
                            <a:cxnSpLocks noChangeShapeType="1"/>
                          </wps:cNvCnPr>
                          <wps:spPr bwMode="auto">
                            <a:xfrm>
                              <a:off x="5907" y="11255"/>
                              <a:ext cx="0" cy="467"/>
                            </a:xfrm>
                            <a:prstGeom prst="line">
                              <a:avLst/>
                            </a:prstGeom>
                            <a:noFill/>
                            <a:ln w="9525">
                              <a:solidFill>
                                <a:srgbClr val="000000"/>
                              </a:solidFill>
                              <a:round/>
                            </a:ln>
                          </wps:spPr>
                          <wps:bodyPr/>
                        </wps:wsp>
                        <wpg:grpSp>
                          <wpg:cNvPr id="17" name="Group 233"/>
                          <wpg:cNvGrpSpPr/>
                          <wpg:grpSpPr>
                            <a:xfrm>
                              <a:off x="2047" y="3088"/>
                              <a:ext cx="8092" cy="8170"/>
                              <a:chOff x="2047" y="3088"/>
                              <a:chExt cx="8092" cy="8170"/>
                            </a:xfrm>
                          </wpg:grpSpPr>
                          <wps:wsp>
                            <wps:cNvPr id="18" name="未知"/>
                            <wps:cNvSpPr/>
                            <wps:spPr bwMode="auto">
                              <a:xfrm>
                                <a:off x="6114" y="6663"/>
                                <a:ext cx="2017" cy="4310"/>
                              </a:xfrm>
                              <a:custGeom>
                                <a:avLst/>
                                <a:gdLst>
                                  <a:gd name="T0" fmla="*/ 0 w 1200"/>
                                  <a:gd name="T1" fmla="*/ 0 h 2360"/>
                                  <a:gd name="T2" fmla="*/ 2017 w 1200"/>
                                  <a:gd name="T3" fmla="*/ 0 h 2360"/>
                                  <a:gd name="T4" fmla="*/ 2017 w 1200"/>
                                  <a:gd name="T5" fmla="*/ 3540 h 2360"/>
                                  <a:gd name="T6" fmla="*/ 2 w 1200"/>
                                  <a:gd name="T7" fmla="*/ 3540 h 2360"/>
                                  <a:gd name="T8" fmla="*/ 0 w 1200"/>
                                  <a:gd name="T9" fmla="*/ 0 h 2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0" h="2360">
                                    <a:moveTo>
                                      <a:pt x="0" y="0"/>
                                    </a:moveTo>
                                    <a:lnTo>
                                      <a:pt x="1200" y="0"/>
                                    </a:lnTo>
                                    <a:lnTo>
                                      <a:pt x="1200" y="2360"/>
                                    </a:lnTo>
                                    <a:lnTo>
                                      <a:pt x="1" y="2360"/>
                                    </a:lnTo>
                                    <a:lnTo>
                                      <a:pt x="0" y="0"/>
                                    </a:lnTo>
                                    <a:close/>
                                  </a:path>
                                </a:pathLst>
                              </a:custGeom>
                              <a:noFill/>
                              <a:ln w="9525">
                                <a:solidFill>
                                  <a:srgbClr val="000000"/>
                                </a:solidFill>
                                <a:round/>
                              </a:ln>
                            </wps:spPr>
                            <wps:bodyPr rot="0" vert="horz" wrap="square" lIns="91440" tIns="45720" rIns="91440" bIns="45720" anchor="t" anchorCtr="0" upright="1">
                              <a:noAutofit/>
                            </wps:bodyPr>
                          </wps:wsp>
                          <wps:wsp>
                            <wps:cNvPr id="19" name="未知"/>
                            <wps:cNvSpPr/>
                            <wps:spPr bwMode="auto">
                              <a:xfrm>
                                <a:off x="4053" y="6696"/>
                                <a:ext cx="1223" cy="2957"/>
                              </a:xfrm>
                              <a:custGeom>
                                <a:avLst/>
                                <a:gdLst>
                                  <a:gd name="T0" fmla="*/ 0 w 1200"/>
                                  <a:gd name="T1" fmla="*/ 0 h 2360"/>
                                  <a:gd name="T2" fmla="*/ 1223 w 1200"/>
                                  <a:gd name="T3" fmla="*/ 0 h 2360"/>
                                  <a:gd name="T4" fmla="*/ 1223 w 1200"/>
                                  <a:gd name="T5" fmla="*/ 2429 h 2360"/>
                                  <a:gd name="T6" fmla="*/ 1 w 1200"/>
                                  <a:gd name="T7" fmla="*/ 2429 h 2360"/>
                                  <a:gd name="T8" fmla="*/ 0 w 1200"/>
                                  <a:gd name="T9" fmla="*/ 0 h 2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0" h="2360">
                                    <a:moveTo>
                                      <a:pt x="0" y="0"/>
                                    </a:moveTo>
                                    <a:lnTo>
                                      <a:pt x="1200" y="0"/>
                                    </a:lnTo>
                                    <a:lnTo>
                                      <a:pt x="1200" y="2360"/>
                                    </a:lnTo>
                                    <a:lnTo>
                                      <a:pt x="1" y="2360"/>
                                    </a:lnTo>
                                    <a:lnTo>
                                      <a:pt x="0" y="0"/>
                                    </a:lnTo>
                                    <a:close/>
                                  </a:path>
                                </a:pathLst>
                              </a:custGeom>
                              <a:noFill/>
                              <a:ln w="9525">
                                <a:solidFill>
                                  <a:srgbClr val="000000"/>
                                </a:solidFill>
                                <a:round/>
                              </a:ln>
                            </wps:spPr>
                            <wps:bodyPr rot="0" vert="horz" wrap="square" lIns="91440" tIns="45720" rIns="91440" bIns="45720" anchor="t" anchorCtr="0" upright="1">
                              <a:noAutofit/>
                            </wps:bodyPr>
                          </wps:wsp>
                          <wps:wsp>
                            <wps:cNvPr id="20" name="Line 10"/>
                            <wps:cNvCnPr>
                              <a:cxnSpLocks noChangeShapeType="1"/>
                            </wps:cNvCnPr>
                            <wps:spPr bwMode="auto">
                              <a:xfrm>
                                <a:off x="4665" y="4110"/>
                                <a:ext cx="0" cy="7145"/>
                              </a:xfrm>
                              <a:prstGeom prst="line">
                                <a:avLst/>
                              </a:prstGeom>
                              <a:noFill/>
                              <a:ln w="9525">
                                <a:solidFill>
                                  <a:srgbClr val="000000"/>
                                </a:solidFill>
                                <a:round/>
                              </a:ln>
                            </wps:spPr>
                            <wps:bodyPr/>
                          </wps:wsp>
                          <wps:wsp>
                            <wps:cNvPr id="21" name="未知"/>
                            <wps:cNvSpPr/>
                            <wps:spPr bwMode="auto">
                              <a:xfrm>
                                <a:off x="2668" y="4105"/>
                                <a:ext cx="6766" cy="7153"/>
                              </a:xfrm>
                              <a:custGeom>
                                <a:avLst/>
                                <a:gdLst>
                                  <a:gd name="T0" fmla="*/ 0 w 6320"/>
                                  <a:gd name="T1" fmla="*/ 0 h 5140"/>
                                  <a:gd name="T2" fmla="*/ 6766 w 6320"/>
                                  <a:gd name="T3" fmla="*/ 0 h 5140"/>
                                  <a:gd name="T4" fmla="*/ 6766 w 6320"/>
                                  <a:gd name="T5" fmla="*/ 5876 h 5140"/>
                                  <a:gd name="T6" fmla="*/ 1 w 6320"/>
                                  <a:gd name="T7" fmla="*/ 5876 h 5140"/>
                                  <a:gd name="T8" fmla="*/ 0 w 6320"/>
                                  <a:gd name="T9" fmla="*/ 0 h 5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20" h="5140">
                                    <a:moveTo>
                                      <a:pt x="0" y="0"/>
                                    </a:moveTo>
                                    <a:lnTo>
                                      <a:pt x="6320" y="0"/>
                                    </a:lnTo>
                                    <a:lnTo>
                                      <a:pt x="6320" y="5140"/>
                                    </a:lnTo>
                                    <a:lnTo>
                                      <a:pt x="1" y="5140"/>
                                    </a:lnTo>
                                    <a:lnTo>
                                      <a:pt x="0" y="0"/>
                                    </a:lnTo>
                                    <a:close/>
                                  </a:path>
                                </a:pathLst>
                              </a:custGeom>
                              <a:noFill/>
                              <a:ln w="9525">
                                <a:solidFill>
                                  <a:srgbClr val="000000"/>
                                </a:solidFill>
                                <a:round/>
                              </a:ln>
                            </wps:spPr>
                            <wps:bodyPr rot="0" vert="horz" wrap="square" lIns="91440" tIns="45720" rIns="91440" bIns="45720" anchor="t" anchorCtr="0" upright="1">
                              <a:noAutofit/>
                            </wps:bodyPr>
                          </wps:wsp>
                          <wps:wsp>
                            <wps:cNvPr id="22" name="Text Box 12"/>
                            <wps:cNvSpPr txBox="1">
                              <a:spLocks noChangeArrowheads="1"/>
                            </wps:cNvSpPr>
                            <wps:spPr bwMode="auto">
                              <a:xfrm>
                                <a:off x="4379" y="3088"/>
                                <a:ext cx="3067" cy="621"/>
                              </a:xfrm>
                              <a:prstGeom prst="rect">
                                <a:avLst/>
                              </a:prstGeom>
                              <a:solidFill>
                                <a:srgbClr val="FFFFFF"/>
                              </a:solidFill>
                              <a:ln w="9525">
                                <a:solidFill>
                                  <a:srgbClr val="000000"/>
                                </a:solidFill>
                                <a:miter lim="800000"/>
                              </a:ln>
                            </wps:spPr>
                            <wps:txbx>
                              <w:txbxContent>
                                <w:p>
                                  <w:pPr>
                                    <w:pStyle w:val="53"/>
                                    <w:rPr>
                                      <w:rFonts w:ascii="宋体" w:eastAsia="宋体"/>
                                      <w:sz w:val="28"/>
                                      <w:szCs w:val="28"/>
                                    </w:rPr>
                                  </w:pPr>
                                  <w:r>
                                    <w:rPr>
                                      <w:rFonts w:ascii="宋体" w:eastAsia="宋体"/>
                                      <w:sz w:val="28"/>
                                      <w:szCs w:val="28"/>
                                    </w:rPr>
                                    <w:t>安全生产保证体系</w:t>
                                  </w:r>
                                </w:p>
                              </w:txbxContent>
                            </wps:txbx>
                            <wps:bodyPr rot="0" vert="horz" wrap="square" lIns="0" tIns="72000" rIns="0" bIns="0" anchor="t" anchorCtr="0" upright="1">
                              <a:noAutofit/>
                            </wps:bodyPr>
                          </wps:wsp>
                          <wps:wsp>
                            <wps:cNvPr id="23" name="Text Box 13"/>
                            <wps:cNvSpPr txBox="1">
                              <a:spLocks noChangeArrowheads="1"/>
                            </wps:cNvSpPr>
                            <wps:spPr bwMode="auto">
                              <a:xfrm>
                                <a:off x="2047" y="4427"/>
                                <a:ext cx="1185" cy="638"/>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组织保证</w:t>
                                  </w:r>
                                </w:p>
                              </w:txbxContent>
                            </wps:txbx>
                            <wps:bodyPr rot="0" vert="horz" wrap="square" lIns="0" tIns="72000" rIns="0" bIns="0" anchor="t" anchorCtr="0" upright="1">
                              <a:noAutofit/>
                            </wps:bodyPr>
                          </wps:wsp>
                          <wps:wsp>
                            <wps:cNvPr id="24" name="Text Box 14"/>
                            <wps:cNvSpPr txBox="1">
                              <a:spLocks noChangeArrowheads="1"/>
                            </wps:cNvSpPr>
                            <wps:spPr bwMode="auto">
                              <a:xfrm>
                                <a:off x="3956" y="4442"/>
                                <a:ext cx="1433" cy="605"/>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思想保证</w:t>
                                  </w:r>
                                </w:p>
                              </w:txbxContent>
                            </wps:txbx>
                            <wps:bodyPr rot="0" vert="horz" wrap="square" lIns="0" tIns="72000" rIns="0" bIns="0" anchor="t" anchorCtr="0" upright="1">
                              <a:noAutofit/>
                            </wps:bodyPr>
                          </wps:wsp>
                          <wps:wsp>
                            <wps:cNvPr id="25" name="Text Box 15"/>
                            <wps:cNvSpPr txBox="1">
                              <a:spLocks noChangeArrowheads="1"/>
                            </wps:cNvSpPr>
                            <wps:spPr bwMode="auto">
                              <a:xfrm>
                                <a:off x="6434" y="4427"/>
                                <a:ext cx="1427" cy="644"/>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制度保证</w:t>
                                  </w:r>
                                </w:p>
                              </w:txbxContent>
                            </wps:txbx>
                            <wps:bodyPr rot="0" vert="horz" wrap="square" lIns="0" tIns="72000" rIns="0" bIns="0" anchor="t" anchorCtr="0" upright="1">
                              <a:noAutofit/>
                            </wps:bodyPr>
                          </wps:wsp>
                          <wps:wsp>
                            <wps:cNvPr id="26" name="Text Box 16"/>
                            <wps:cNvSpPr txBox="1">
                              <a:spLocks noChangeArrowheads="1"/>
                            </wps:cNvSpPr>
                            <wps:spPr bwMode="auto">
                              <a:xfrm>
                                <a:off x="8879" y="4409"/>
                                <a:ext cx="1260" cy="609"/>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经济保证</w:t>
                                  </w:r>
                                </w:p>
                              </w:txbxContent>
                            </wps:txbx>
                            <wps:bodyPr rot="0" vert="horz" wrap="square" lIns="0" tIns="72000" rIns="0" bIns="0" anchor="t" anchorCtr="0" upright="1">
                              <a:noAutofit/>
                            </wps:bodyPr>
                          </wps:wsp>
                          <wps:wsp>
                            <wps:cNvPr id="27" name="Text Box 17"/>
                            <wps:cNvSpPr txBox="1">
                              <a:spLocks noChangeArrowheads="1"/>
                            </wps:cNvSpPr>
                            <wps:spPr bwMode="auto">
                              <a:xfrm>
                                <a:off x="2075" y="5794"/>
                                <a:ext cx="1173" cy="1011"/>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安全生产</w:t>
                                  </w:r>
                                </w:p>
                                <w:p>
                                  <w:pPr>
                                    <w:pStyle w:val="53"/>
                                    <w:rPr>
                                      <w:rFonts w:ascii="宋体" w:eastAsia="宋体"/>
                                    </w:rPr>
                                  </w:pPr>
                                  <w:r>
                                    <w:rPr>
                                      <w:rFonts w:ascii="宋体" w:eastAsia="宋体"/>
                                    </w:rPr>
                                    <w:t>领导小组</w:t>
                                  </w:r>
                                </w:p>
                              </w:txbxContent>
                            </wps:txbx>
                            <wps:bodyPr rot="0" vert="horz" wrap="square" lIns="0" tIns="72000" rIns="0" bIns="0" anchor="t" anchorCtr="0" upright="1">
                              <a:noAutofit/>
                            </wps:bodyPr>
                          </wps:wsp>
                          <wps:wsp>
                            <wps:cNvPr id="28" name="Text Box 18"/>
                            <wps:cNvSpPr txBox="1">
                              <a:spLocks noChangeArrowheads="1"/>
                            </wps:cNvSpPr>
                            <wps:spPr bwMode="auto">
                              <a:xfrm>
                                <a:off x="3960" y="5400"/>
                                <a:ext cx="1424" cy="1009"/>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提高全员</w:t>
                                  </w:r>
                                </w:p>
                                <w:p>
                                  <w:pPr>
                                    <w:pStyle w:val="53"/>
                                    <w:rPr>
                                      <w:rFonts w:ascii="宋体" w:eastAsia="宋体"/>
                                    </w:rPr>
                                  </w:pPr>
                                  <w:r>
                                    <w:rPr>
                                      <w:rFonts w:ascii="宋体" w:eastAsia="宋体"/>
                                    </w:rPr>
                                    <w:t>安全意识</w:t>
                                  </w:r>
                                </w:p>
                              </w:txbxContent>
                            </wps:txbx>
                            <wps:bodyPr rot="0" vert="horz" wrap="square" lIns="0" tIns="72000" rIns="0" bIns="0" anchor="t" anchorCtr="0" upright="1">
                              <a:noAutofit/>
                            </wps:bodyPr>
                          </wps:wsp>
                          <wps:wsp>
                            <wps:cNvPr id="29" name="Text Box 19"/>
                            <wps:cNvSpPr txBox="1">
                              <a:spLocks noChangeArrowheads="1"/>
                            </wps:cNvSpPr>
                            <wps:spPr bwMode="auto">
                              <a:xfrm>
                                <a:off x="6457" y="5396"/>
                                <a:ext cx="1407" cy="1012"/>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各项安全</w:t>
                                  </w:r>
                                </w:p>
                                <w:p>
                                  <w:pPr>
                                    <w:pStyle w:val="53"/>
                                    <w:rPr>
                                      <w:rFonts w:ascii="宋体" w:eastAsia="宋体"/>
                                    </w:rPr>
                                  </w:pPr>
                                  <w:r>
                                    <w:rPr>
                                      <w:rFonts w:ascii="宋体" w:eastAsia="宋体"/>
                                    </w:rPr>
                                    <w:t>生产制度</w:t>
                                  </w:r>
                                </w:p>
                              </w:txbxContent>
                            </wps:txbx>
                            <wps:bodyPr rot="0" vert="horz" wrap="square" lIns="0" tIns="72000" rIns="0" bIns="0" anchor="t" anchorCtr="0" upright="1">
                              <a:noAutofit/>
                            </wps:bodyPr>
                          </wps:wsp>
                          <wps:wsp>
                            <wps:cNvPr id="30" name="Text Box 20"/>
                            <wps:cNvSpPr txBox="1">
                              <a:spLocks noChangeArrowheads="1"/>
                            </wps:cNvSpPr>
                            <wps:spPr bwMode="auto">
                              <a:xfrm>
                                <a:off x="8879" y="5358"/>
                                <a:ext cx="1260" cy="1038"/>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安全生产</w:t>
                                  </w:r>
                                </w:p>
                                <w:p>
                                  <w:pPr>
                                    <w:pStyle w:val="53"/>
                                    <w:rPr>
                                      <w:rFonts w:ascii="宋体" w:eastAsia="宋体"/>
                                    </w:rPr>
                                  </w:pPr>
                                  <w:r>
                                    <w:rPr>
                                      <w:rFonts w:ascii="宋体" w:eastAsia="宋体"/>
                                    </w:rPr>
                                    <w:t>责任制</w:t>
                                  </w:r>
                                </w:p>
                              </w:txbxContent>
                            </wps:txbx>
                            <wps:bodyPr rot="0" vert="horz" wrap="square" lIns="0" tIns="72000" rIns="0" bIns="0" anchor="t" anchorCtr="0" upright="1">
                              <a:noAutofit/>
                            </wps:bodyPr>
                          </wps:wsp>
                          <wps:wsp>
                            <wps:cNvPr id="31" name="Text Box 21"/>
                            <wps:cNvSpPr txBox="1">
                              <a:spLocks noChangeArrowheads="1"/>
                            </wps:cNvSpPr>
                            <wps:spPr bwMode="auto">
                              <a:xfrm>
                                <a:off x="6420" y="6982"/>
                                <a:ext cx="424" cy="3733"/>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工种安全操作规程</w:t>
                                  </w:r>
                                </w:p>
                              </w:txbxContent>
                            </wps:txbx>
                            <wps:bodyPr rot="0" vert="horz" wrap="square" lIns="36000" tIns="144000" rIns="36000" bIns="0" anchor="t" anchorCtr="0" upright="1">
                              <a:noAutofit/>
                            </wps:bodyPr>
                          </wps:wsp>
                          <wps:wsp>
                            <wps:cNvPr id="32" name="Text Box 22"/>
                            <wps:cNvSpPr txBox="1">
                              <a:spLocks noChangeArrowheads="1"/>
                            </wps:cNvSpPr>
                            <wps:spPr bwMode="auto">
                              <a:xfrm>
                                <a:off x="7455" y="6968"/>
                                <a:ext cx="386" cy="3714"/>
                              </a:xfrm>
                              <a:prstGeom prst="rect">
                                <a:avLst/>
                              </a:prstGeom>
                              <a:solidFill>
                                <a:srgbClr val="FFFFFF"/>
                              </a:solidFill>
                              <a:ln w="9525">
                                <a:solidFill>
                                  <a:srgbClr val="000000"/>
                                </a:solidFill>
                                <a:miter lim="800000"/>
                              </a:ln>
                            </wps:spPr>
                            <wps:txbx>
                              <w:txbxContent>
                                <w:p>
                                  <w:pPr>
                                    <w:pStyle w:val="53"/>
                                    <w:rPr>
                                      <w:rFonts w:ascii="宋体" w:eastAsia="宋体"/>
                                    </w:rPr>
                                  </w:pPr>
                                  <w:r>
                                    <w:rPr>
                                      <w:rFonts w:hint="eastAsia" w:ascii="宋体" w:eastAsia="宋体"/>
                                    </w:rPr>
                                    <w:t>安全生产奖惩</w:t>
                                  </w:r>
                                  <w:r>
                                    <w:rPr>
                                      <w:rFonts w:ascii="宋体" w:eastAsia="宋体"/>
                                    </w:rPr>
                                    <w:t>制度</w:t>
                                  </w:r>
                                </w:p>
                              </w:txbxContent>
                            </wps:txbx>
                            <wps:bodyPr rot="0" vert="horz" wrap="square" lIns="0" tIns="144000" rIns="0" bIns="0" anchor="t" anchorCtr="0" upright="1">
                              <a:noAutofit/>
                            </wps:bodyPr>
                          </wps:wsp>
                          <wps:wsp>
                            <wps:cNvPr id="33" name="Text Box 23"/>
                            <wps:cNvSpPr txBox="1">
                              <a:spLocks noChangeArrowheads="1"/>
                            </wps:cNvSpPr>
                            <wps:spPr bwMode="auto">
                              <a:xfrm>
                                <a:off x="8879" y="10305"/>
                                <a:ext cx="1260" cy="551"/>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经济兑现</w:t>
                                  </w:r>
                                </w:p>
                              </w:txbxContent>
                            </wps:txbx>
                            <wps:bodyPr rot="0" vert="horz" wrap="square" lIns="0" tIns="72000" rIns="0" bIns="0" anchor="t" anchorCtr="0" upright="1">
                              <a:noAutofit/>
                            </wps:bodyPr>
                          </wps:wsp>
                          <wps:wsp>
                            <wps:cNvPr id="34" name="Text Box 24"/>
                            <wps:cNvSpPr txBox="1">
                              <a:spLocks noChangeArrowheads="1"/>
                            </wps:cNvSpPr>
                            <wps:spPr bwMode="auto">
                              <a:xfrm>
                                <a:off x="8879" y="9553"/>
                                <a:ext cx="1260" cy="570"/>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责任考核</w:t>
                                  </w:r>
                                </w:p>
                              </w:txbxContent>
                            </wps:txbx>
                            <wps:bodyPr rot="0" vert="horz" wrap="square" lIns="0" tIns="72000" rIns="0" bIns="0" anchor="t" anchorCtr="0" upright="1">
                              <a:noAutofit/>
                            </wps:bodyPr>
                          </wps:wsp>
                          <wps:wsp>
                            <wps:cNvPr id="35" name="Text Box 25"/>
                            <wps:cNvSpPr txBox="1">
                              <a:spLocks noChangeArrowheads="1"/>
                            </wps:cNvSpPr>
                            <wps:spPr bwMode="auto">
                              <a:xfrm>
                                <a:off x="3828" y="7006"/>
                                <a:ext cx="448" cy="2394"/>
                              </a:xfrm>
                              <a:prstGeom prst="rect">
                                <a:avLst/>
                              </a:prstGeom>
                              <a:solidFill>
                                <a:srgbClr val="FFFFFF"/>
                              </a:solidFill>
                              <a:ln w="9525">
                                <a:solidFill>
                                  <a:srgbClr val="000000"/>
                                </a:solidFill>
                                <a:miter lim="800000"/>
                              </a:ln>
                            </wps:spPr>
                            <wps:txbx>
                              <w:txbxContent>
                                <w:p>
                                  <w:pPr>
                                    <w:pStyle w:val="53"/>
                                    <w:rPr>
                                      <w:rFonts w:ascii="宋体" w:eastAsia="宋体"/>
                                    </w:rPr>
                                  </w:pPr>
                                  <w:r>
                                    <w:rPr>
                                      <w:rFonts w:hint="eastAsia" w:ascii="宋体" w:eastAsia="宋体"/>
                                    </w:rPr>
                                    <w:t>日</w:t>
                                  </w:r>
                                </w:p>
                                <w:p>
                                  <w:pPr>
                                    <w:pStyle w:val="53"/>
                                    <w:rPr>
                                      <w:rFonts w:ascii="宋体" w:eastAsia="宋体"/>
                                    </w:rPr>
                                  </w:pPr>
                                  <w:r>
                                    <w:rPr>
                                      <w:rFonts w:hint="eastAsia" w:ascii="宋体" w:eastAsia="宋体"/>
                                    </w:rPr>
                                    <w:t>常</w:t>
                                  </w:r>
                                </w:p>
                                <w:p>
                                  <w:pPr>
                                    <w:pStyle w:val="53"/>
                                    <w:rPr>
                                      <w:rFonts w:ascii="宋体" w:eastAsia="宋体"/>
                                    </w:rPr>
                                  </w:pPr>
                                  <w:r>
                                    <w:rPr>
                                      <w:rFonts w:hint="eastAsia" w:ascii="宋体" w:eastAsia="宋体"/>
                                    </w:rPr>
                                    <w:t>安</w:t>
                                  </w:r>
                                </w:p>
                                <w:p>
                                  <w:pPr>
                                    <w:pStyle w:val="53"/>
                                    <w:rPr>
                                      <w:rFonts w:ascii="宋体" w:eastAsia="宋体"/>
                                    </w:rPr>
                                  </w:pPr>
                                  <w:r>
                                    <w:rPr>
                                      <w:rFonts w:hint="eastAsia" w:ascii="宋体" w:eastAsia="宋体"/>
                                    </w:rPr>
                                    <w:t>全</w:t>
                                  </w:r>
                                </w:p>
                                <w:p>
                                  <w:pPr>
                                    <w:pStyle w:val="53"/>
                                    <w:rPr>
                                      <w:rFonts w:ascii="宋体" w:eastAsia="宋体"/>
                                    </w:rPr>
                                  </w:pPr>
                                  <w:r>
                                    <w:rPr>
                                      <w:rFonts w:hint="eastAsia" w:ascii="宋体" w:eastAsia="宋体"/>
                                    </w:rPr>
                                    <w:t>教</w:t>
                                  </w:r>
                                </w:p>
                                <w:p>
                                  <w:pPr>
                                    <w:pStyle w:val="53"/>
                                    <w:rPr>
                                      <w:rFonts w:ascii="宋体" w:eastAsia="宋体"/>
                                    </w:rPr>
                                  </w:pPr>
                                  <w:r>
                                    <w:rPr>
                                      <w:rFonts w:hint="eastAsia" w:ascii="宋体" w:eastAsia="宋体"/>
                                    </w:rPr>
                                    <w:t>育</w:t>
                                  </w:r>
                                </w:p>
                              </w:txbxContent>
                            </wps:txbx>
                            <wps:bodyPr rot="0" vert="horz" wrap="square" lIns="0" tIns="108000" rIns="0" bIns="0" anchor="t" anchorCtr="0" upright="1">
                              <a:noAutofit/>
                            </wps:bodyPr>
                          </wps:wsp>
                          <wps:wsp>
                            <wps:cNvPr id="36" name="Text Box 26"/>
                            <wps:cNvSpPr txBox="1">
                              <a:spLocks noChangeArrowheads="1"/>
                            </wps:cNvSpPr>
                            <wps:spPr bwMode="auto">
                              <a:xfrm>
                                <a:off x="5068" y="7001"/>
                                <a:ext cx="428" cy="2399"/>
                              </a:xfrm>
                              <a:prstGeom prst="rect">
                                <a:avLst/>
                              </a:prstGeom>
                              <a:solidFill>
                                <a:srgbClr val="FFFFFF"/>
                              </a:solidFill>
                              <a:ln w="9525">
                                <a:solidFill>
                                  <a:srgbClr val="000000"/>
                                </a:solidFill>
                                <a:miter lim="800000"/>
                              </a:ln>
                            </wps:spPr>
                            <wps:txbx>
                              <w:txbxContent>
                                <w:p>
                                  <w:pPr>
                                    <w:pStyle w:val="53"/>
                                    <w:rPr>
                                      <w:rFonts w:ascii="宋体" w:eastAsia="宋体"/>
                                    </w:rPr>
                                  </w:pPr>
                                  <w:r>
                                    <w:rPr>
                                      <w:rFonts w:hint="eastAsia" w:ascii="宋体" w:eastAsia="宋体"/>
                                    </w:rPr>
                                    <w:t>进</w:t>
                                  </w:r>
                                </w:p>
                                <w:p>
                                  <w:pPr>
                                    <w:pStyle w:val="53"/>
                                    <w:rPr>
                                      <w:rFonts w:ascii="宋体" w:eastAsia="宋体"/>
                                    </w:rPr>
                                  </w:pPr>
                                  <w:r>
                                    <w:rPr>
                                      <w:rFonts w:hint="eastAsia" w:ascii="宋体" w:eastAsia="宋体"/>
                                    </w:rPr>
                                    <w:t>场</w:t>
                                  </w:r>
                                </w:p>
                                <w:p>
                                  <w:pPr>
                                    <w:pStyle w:val="53"/>
                                    <w:rPr>
                                      <w:rFonts w:ascii="宋体" w:eastAsia="宋体"/>
                                    </w:rPr>
                                  </w:pPr>
                                  <w:r>
                                    <w:rPr>
                                      <w:rFonts w:hint="eastAsia" w:ascii="宋体" w:eastAsia="宋体"/>
                                    </w:rPr>
                                    <w:t>人</w:t>
                                  </w:r>
                                </w:p>
                                <w:p>
                                  <w:pPr>
                                    <w:pStyle w:val="53"/>
                                    <w:rPr>
                                      <w:rFonts w:ascii="宋体" w:eastAsia="宋体"/>
                                    </w:rPr>
                                  </w:pPr>
                                  <w:r>
                                    <w:rPr>
                                      <w:rFonts w:hint="eastAsia" w:ascii="宋体" w:eastAsia="宋体"/>
                                    </w:rPr>
                                    <w:t>员</w:t>
                                  </w:r>
                                </w:p>
                                <w:p>
                                  <w:pPr>
                                    <w:pStyle w:val="53"/>
                                    <w:rPr>
                                      <w:rFonts w:ascii="宋体" w:eastAsia="宋体"/>
                                    </w:rPr>
                                  </w:pPr>
                                  <w:r>
                                    <w:rPr>
                                      <w:rFonts w:hint="eastAsia" w:ascii="宋体" w:eastAsia="宋体"/>
                                    </w:rPr>
                                    <w:t>三</w:t>
                                  </w:r>
                                </w:p>
                                <w:p>
                                  <w:pPr>
                                    <w:pStyle w:val="53"/>
                                    <w:rPr>
                                      <w:rFonts w:ascii="宋体" w:eastAsia="宋体"/>
                                    </w:rPr>
                                  </w:pPr>
                                  <w:r>
                                    <w:rPr>
                                      <w:rFonts w:hint="eastAsia" w:ascii="宋体" w:eastAsia="宋体"/>
                                    </w:rPr>
                                    <w:t>级</w:t>
                                  </w:r>
                                </w:p>
                                <w:p>
                                  <w:pPr>
                                    <w:pStyle w:val="53"/>
                                    <w:rPr>
                                      <w:rFonts w:ascii="宋体" w:eastAsia="宋体"/>
                                    </w:rPr>
                                  </w:pPr>
                                  <w:r>
                                    <w:rPr>
                                      <w:rFonts w:hint="eastAsia" w:ascii="宋体" w:eastAsia="宋体"/>
                                    </w:rPr>
                                    <w:t>教</w:t>
                                  </w:r>
                                </w:p>
                                <w:p>
                                  <w:pPr>
                                    <w:pStyle w:val="53"/>
                                    <w:rPr>
                                      <w:rFonts w:ascii="宋体" w:eastAsia="宋体"/>
                                    </w:rPr>
                                  </w:pPr>
                                  <w:r>
                                    <w:rPr>
                                      <w:rFonts w:hint="eastAsia" w:ascii="宋体" w:eastAsia="宋体"/>
                                    </w:rPr>
                                    <w:t>育</w:t>
                                  </w:r>
                                </w:p>
                              </w:txbxContent>
                            </wps:txbx>
                            <wps:bodyPr rot="0" vert="horz" wrap="square" lIns="0" tIns="108000" rIns="0" bIns="0" anchor="t" anchorCtr="0" upright="1">
                              <a:noAutofit/>
                            </wps:bodyPr>
                          </wps:wsp>
                          <wps:wsp>
                            <wps:cNvPr id="37" name="Text Box 27"/>
                            <wps:cNvSpPr txBox="1">
                              <a:spLocks noChangeArrowheads="1"/>
                            </wps:cNvSpPr>
                            <wps:spPr bwMode="auto">
                              <a:xfrm>
                                <a:off x="4470" y="7019"/>
                                <a:ext cx="428" cy="2385"/>
                              </a:xfrm>
                              <a:prstGeom prst="rect">
                                <a:avLst/>
                              </a:prstGeom>
                              <a:solidFill>
                                <a:srgbClr val="FFFFFF"/>
                              </a:solidFill>
                              <a:ln w="9525">
                                <a:solidFill>
                                  <a:srgbClr val="000000"/>
                                </a:solidFill>
                                <a:miter lim="800000"/>
                              </a:ln>
                            </wps:spPr>
                            <wps:txbx>
                              <w:txbxContent>
                                <w:p>
                                  <w:pPr>
                                    <w:pStyle w:val="53"/>
                                    <w:rPr>
                                      <w:rFonts w:ascii="宋体" w:eastAsia="宋体"/>
                                    </w:rPr>
                                  </w:pPr>
                                  <w:r>
                                    <w:rPr>
                                      <w:rFonts w:hint="eastAsia" w:ascii="宋体" w:eastAsia="宋体"/>
                                    </w:rPr>
                                    <w:t>班</w:t>
                                  </w:r>
                                </w:p>
                                <w:p>
                                  <w:pPr>
                                    <w:pStyle w:val="53"/>
                                    <w:rPr>
                                      <w:rFonts w:ascii="宋体" w:eastAsia="宋体"/>
                                    </w:rPr>
                                  </w:pPr>
                                  <w:r>
                                    <w:rPr>
                                      <w:rFonts w:hint="eastAsia" w:ascii="宋体" w:eastAsia="宋体"/>
                                    </w:rPr>
                                    <w:t>前</w:t>
                                  </w:r>
                                </w:p>
                                <w:p>
                                  <w:pPr>
                                    <w:pStyle w:val="53"/>
                                    <w:rPr>
                                      <w:rFonts w:ascii="宋体" w:eastAsia="宋体"/>
                                    </w:rPr>
                                  </w:pPr>
                                  <w:r>
                                    <w:rPr>
                                      <w:rFonts w:hint="eastAsia" w:ascii="宋体" w:eastAsia="宋体"/>
                                    </w:rPr>
                                    <w:t>讲</w:t>
                                  </w:r>
                                </w:p>
                                <w:p>
                                  <w:pPr>
                                    <w:pStyle w:val="53"/>
                                    <w:rPr>
                                      <w:rFonts w:ascii="宋体" w:eastAsia="宋体"/>
                                    </w:rPr>
                                  </w:pPr>
                                  <w:r>
                                    <w:rPr>
                                      <w:rFonts w:hint="eastAsia" w:ascii="宋体" w:eastAsia="宋体"/>
                                    </w:rPr>
                                    <w:t>话</w:t>
                                  </w:r>
                                </w:p>
                              </w:txbxContent>
                            </wps:txbx>
                            <wps:bodyPr rot="0" vert="horz" wrap="square" lIns="0" tIns="108000" rIns="0" bIns="0" anchor="t" anchorCtr="0" upright="1">
                              <a:noAutofit/>
                            </wps:bodyPr>
                          </wps:wsp>
                          <wps:wsp>
                            <wps:cNvPr id="38" name="Text Box 28"/>
                            <wps:cNvSpPr txBox="1">
                              <a:spLocks noChangeArrowheads="1"/>
                            </wps:cNvSpPr>
                            <wps:spPr bwMode="auto">
                              <a:xfrm>
                                <a:off x="5910" y="6997"/>
                                <a:ext cx="425" cy="3735"/>
                              </a:xfrm>
                              <a:prstGeom prst="rect">
                                <a:avLst/>
                              </a:prstGeom>
                              <a:solidFill>
                                <a:srgbClr val="FFFFFF"/>
                              </a:solidFill>
                              <a:ln w="9525">
                                <a:solidFill>
                                  <a:srgbClr val="000000"/>
                                </a:solidFill>
                                <a:miter lim="800000"/>
                              </a:ln>
                            </wps:spPr>
                            <wps:txbx>
                              <w:txbxContent>
                                <w:p>
                                  <w:pPr>
                                    <w:pStyle w:val="53"/>
                                    <w:rPr>
                                      <w:rFonts w:ascii="宋体" w:eastAsia="宋体"/>
                                    </w:rPr>
                                  </w:pPr>
                                  <w:r>
                                    <w:rPr>
                                      <w:rFonts w:hint="eastAsia" w:ascii="宋体" w:eastAsia="宋体"/>
                                    </w:rPr>
                                    <w:t>现场安全文明施工</w:t>
                                  </w:r>
                                  <w:r>
                                    <w:rPr>
                                      <w:rFonts w:ascii="宋体" w:eastAsia="宋体"/>
                                    </w:rPr>
                                    <w:t>制度</w:t>
                                  </w:r>
                                </w:p>
                              </w:txbxContent>
                            </wps:txbx>
                            <wps:bodyPr rot="0" vert="horz" wrap="square" lIns="36000" tIns="144000" rIns="36000" bIns="0" anchor="t" anchorCtr="0" upright="1">
                              <a:noAutofit/>
                            </wps:bodyPr>
                          </wps:wsp>
                          <wps:wsp>
                            <wps:cNvPr id="39" name="Line 29"/>
                            <wps:cNvCnPr>
                              <a:cxnSpLocks noChangeShapeType="1"/>
                            </wps:cNvCnPr>
                            <wps:spPr bwMode="auto">
                              <a:xfrm>
                                <a:off x="6007" y="3708"/>
                                <a:ext cx="0" cy="393"/>
                              </a:xfrm>
                              <a:prstGeom prst="line">
                                <a:avLst/>
                              </a:prstGeom>
                              <a:noFill/>
                              <a:ln w="9525">
                                <a:solidFill>
                                  <a:srgbClr val="000000"/>
                                </a:solidFill>
                                <a:round/>
                              </a:ln>
                            </wps:spPr>
                            <wps:bodyPr/>
                          </wps:wsp>
                          <wps:wsp>
                            <wps:cNvPr id="40" name="Text Box 30"/>
                            <wps:cNvSpPr txBox="1">
                              <a:spLocks noChangeArrowheads="1"/>
                            </wps:cNvSpPr>
                            <wps:spPr bwMode="auto">
                              <a:xfrm>
                                <a:off x="2051" y="7590"/>
                                <a:ext cx="1185" cy="635"/>
                              </a:xfrm>
                              <a:prstGeom prst="rect">
                                <a:avLst/>
                              </a:prstGeom>
                              <a:solidFill>
                                <a:srgbClr val="FFFFFF"/>
                              </a:solidFill>
                              <a:ln w="9525">
                                <a:solidFill>
                                  <a:srgbClr val="000000"/>
                                </a:solidFill>
                                <a:miter lim="800000"/>
                              </a:ln>
                            </wps:spPr>
                            <wps:txbx>
                              <w:txbxContent>
                                <w:p>
                                  <w:pPr>
                                    <w:pStyle w:val="53"/>
                                    <w:rPr>
                                      <w:rFonts w:ascii="宋体" w:eastAsia="宋体"/>
                                    </w:rPr>
                                  </w:pPr>
                                  <w:r>
                                    <w:rPr>
                                      <w:rFonts w:hint="eastAsia" w:ascii="宋体" w:eastAsia="宋体"/>
                                    </w:rPr>
                                    <w:t>安质部长</w:t>
                                  </w:r>
                                </w:p>
                              </w:txbxContent>
                            </wps:txbx>
                            <wps:bodyPr rot="0" vert="horz" wrap="square" lIns="0" tIns="72000" rIns="0" bIns="0" anchor="t" anchorCtr="0" upright="1">
                              <a:noAutofit/>
                            </wps:bodyPr>
                          </wps:wsp>
                          <wps:wsp>
                            <wps:cNvPr id="41" name="Text Box 31"/>
                            <wps:cNvSpPr txBox="1">
                              <a:spLocks noChangeArrowheads="1"/>
                            </wps:cNvSpPr>
                            <wps:spPr bwMode="auto">
                              <a:xfrm>
                                <a:off x="2102" y="9062"/>
                                <a:ext cx="1185" cy="638"/>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专职安全员</w:t>
                                  </w:r>
                                </w:p>
                              </w:txbxContent>
                            </wps:txbx>
                            <wps:bodyPr rot="0" vert="horz" wrap="square" lIns="0" tIns="72000" rIns="0" bIns="0" anchor="t" anchorCtr="0" upright="1">
                              <a:noAutofit/>
                            </wps:bodyPr>
                          </wps:wsp>
                          <wps:wsp>
                            <wps:cNvPr id="42" name="Text Box 32"/>
                            <wps:cNvSpPr txBox="1">
                              <a:spLocks noChangeArrowheads="1"/>
                            </wps:cNvSpPr>
                            <wps:spPr bwMode="auto">
                              <a:xfrm>
                                <a:off x="2089" y="10380"/>
                                <a:ext cx="1185" cy="638"/>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兼职安全员</w:t>
                                  </w:r>
                                </w:p>
                              </w:txbxContent>
                            </wps:txbx>
                            <wps:bodyPr rot="0" vert="horz" wrap="square" lIns="0" tIns="72000" rIns="0" bIns="0" anchor="t" anchorCtr="0" upright="1">
                              <a:noAutofit/>
                            </wps:bodyPr>
                          </wps:wsp>
                          <wps:wsp>
                            <wps:cNvPr id="43" name="Text Box 33"/>
                            <wps:cNvSpPr txBox="1">
                              <a:spLocks noChangeArrowheads="1"/>
                            </wps:cNvSpPr>
                            <wps:spPr bwMode="auto">
                              <a:xfrm>
                                <a:off x="7944" y="6968"/>
                                <a:ext cx="407" cy="3714"/>
                              </a:xfrm>
                              <a:prstGeom prst="rect">
                                <a:avLst/>
                              </a:prstGeom>
                              <a:solidFill>
                                <a:srgbClr val="FFFFFF"/>
                              </a:solidFill>
                              <a:ln w="9525">
                                <a:solidFill>
                                  <a:srgbClr val="000000"/>
                                </a:solidFill>
                                <a:miter lim="800000"/>
                              </a:ln>
                            </wps:spPr>
                            <wps:txbx>
                              <w:txbxContent>
                                <w:p>
                                  <w:pPr>
                                    <w:pStyle w:val="53"/>
                                    <w:spacing w:line="216" w:lineRule="auto"/>
                                    <w:rPr>
                                      <w:rFonts w:ascii="宋体" w:eastAsia="宋体"/>
                                    </w:rPr>
                                  </w:pPr>
                                  <w:r>
                                    <w:rPr>
                                      <w:rFonts w:hint="eastAsia" w:ascii="宋体" w:eastAsia="宋体"/>
                                    </w:rPr>
                                    <w:t>安全生产事故报告与处理</w:t>
                                  </w:r>
                                </w:p>
                              </w:txbxContent>
                            </wps:txbx>
                            <wps:bodyPr rot="0" vert="horz" wrap="square" lIns="0" tIns="144000" rIns="0" bIns="0" anchor="t" anchorCtr="0" upright="1">
                              <a:noAutofit/>
                            </wps:bodyPr>
                          </wps:wsp>
                          <wps:wsp>
                            <wps:cNvPr id="44" name="Text Box 34"/>
                            <wps:cNvSpPr txBox="1">
                              <a:spLocks noChangeArrowheads="1"/>
                            </wps:cNvSpPr>
                            <wps:spPr bwMode="auto">
                              <a:xfrm>
                                <a:off x="8879" y="6688"/>
                                <a:ext cx="1260" cy="580"/>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项目经理</w:t>
                                  </w:r>
                                </w:p>
                              </w:txbxContent>
                            </wps:txbx>
                            <wps:bodyPr rot="0" vert="horz" wrap="square" lIns="0" tIns="72000" rIns="0" bIns="0" anchor="t" anchorCtr="0" upright="1">
                              <a:noAutofit/>
                            </wps:bodyPr>
                          </wps:wsp>
                          <wps:wsp>
                            <wps:cNvPr id="45" name="Text Box 35"/>
                            <wps:cNvSpPr txBox="1">
                              <a:spLocks noChangeArrowheads="1"/>
                            </wps:cNvSpPr>
                            <wps:spPr bwMode="auto">
                              <a:xfrm>
                                <a:off x="8879" y="7637"/>
                                <a:ext cx="1260" cy="579"/>
                              </a:xfrm>
                              <a:prstGeom prst="rect">
                                <a:avLst/>
                              </a:prstGeom>
                              <a:solidFill>
                                <a:srgbClr val="FFFFFF"/>
                              </a:solidFill>
                              <a:ln w="9525">
                                <a:solidFill>
                                  <a:srgbClr val="000000"/>
                                </a:solidFill>
                                <a:miter lim="800000"/>
                              </a:ln>
                            </wps:spPr>
                            <wps:txbx>
                              <w:txbxContent>
                                <w:p>
                                  <w:pPr>
                                    <w:pStyle w:val="53"/>
                                    <w:rPr>
                                      <w:rFonts w:ascii="宋体" w:eastAsia="宋体"/>
                                    </w:rPr>
                                  </w:pPr>
                                  <w:r>
                                    <w:rPr>
                                      <w:rFonts w:hint="eastAsia" w:ascii="宋体" w:eastAsia="宋体"/>
                                    </w:rPr>
                                    <w:t>工区负责人</w:t>
                                  </w:r>
                                </w:p>
                              </w:txbxContent>
                            </wps:txbx>
                            <wps:bodyPr rot="0" vert="horz" wrap="square" lIns="0" tIns="72000" rIns="0" bIns="0" anchor="t" anchorCtr="0" upright="1">
                              <a:noAutofit/>
                            </wps:bodyPr>
                          </wps:wsp>
                          <wps:wsp>
                            <wps:cNvPr id="46" name="Text Box 36"/>
                            <wps:cNvSpPr txBox="1">
                              <a:spLocks noChangeArrowheads="1"/>
                            </wps:cNvSpPr>
                            <wps:spPr bwMode="auto">
                              <a:xfrm>
                                <a:off x="3764" y="9927"/>
                                <a:ext cx="1618" cy="1011"/>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施工安全</w:t>
                                  </w:r>
                                </w:p>
                                <w:p>
                                  <w:pPr>
                                    <w:pStyle w:val="53"/>
                                    <w:rPr>
                                      <w:rFonts w:ascii="宋体" w:eastAsia="宋体"/>
                                    </w:rPr>
                                  </w:pPr>
                                  <w:r>
                                    <w:rPr>
                                      <w:rFonts w:ascii="宋体" w:eastAsia="宋体"/>
                                    </w:rPr>
                                    <w:t>技术规程教育</w:t>
                                  </w:r>
                                </w:p>
                              </w:txbxContent>
                            </wps:txbx>
                            <wps:bodyPr rot="0" vert="horz" wrap="square" lIns="0" tIns="72000" rIns="0" bIns="0" anchor="t" anchorCtr="0" upright="1">
                              <a:noAutofit/>
                            </wps:bodyPr>
                          </wps:wsp>
                          <wps:wsp>
                            <wps:cNvPr id="47" name="Text Box 37"/>
                            <wps:cNvSpPr txBox="1">
                              <a:spLocks noChangeArrowheads="1"/>
                            </wps:cNvSpPr>
                            <wps:spPr bwMode="auto">
                              <a:xfrm>
                                <a:off x="6922" y="6956"/>
                                <a:ext cx="423" cy="3735"/>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安全检查制度</w:t>
                                  </w:r>
                                </w:p>
                              </w:txbxContent>
                            </wps:txbx>
                            <wps:bodyPr rot="0" vert="horz" wrap="square" lIns="36000" tIns="144000" rIns="36000" bIns="0" anchor="t" anchorCtr="0" upright="1">
                              <a:noAutofit/>
                            </wps:bodyPr>
                          </wps:wsp>
                          <wps:wsp>
                            <wps:cNvPr id="48" name="Text Box 38"/>
                            <wps:cNvSpPr txBox="1">
                              <a:spLocks noChangeArrowheads="1"/>
                            </wps:cNvSpPr>
                            <wps:spPr bwMode="auto">
                              <a:xfrm>
                                <a:off x="8879" y="8587"/>
                                <a:ext cx="1260" cy="577"/>
                              </a:xfrm>
                              <a:prstGeom prst="rect">
                                <a:avLst/>
                              </a:prstGeom>
                              <a:solidFill>
                                <a:srgbClr val="FFFFFF"/>
                              </a:solidFill>
                              <a:ln w="9525">
                                <a:solidFill>
                                  <a:srgbClr val="000000"/>
                                </a:solidFill>
                                <a:miter lim="800000"/>
                              </a:ln>
                            </wps:spPr>
                            <wps:txbx>
                              <w:txbxContent>
                                <w:p>
                                  <w:pPr>
                                    <w:pStyle w:val="53"/>
                                    <w:rPr>
                                      <w:rFonts w:ascii="宋体" w:eastAsia="宋体"/>
                                    </w:rPr>
                                  </w:pPr>
                                  <w:r>
                                    <w:rPr>
                                      <w:rFonts w:ascii="宋体" w:eastAsia="宋体"/>
                                    </w:rPr>
                                    <w:t>各工班长</w:t>
                                  </w:r>
                                </w:p>
                              </w:txbxContent>
                            </wps:txbx>
                            <wps:bodyPr rot="0" vert="horz" wrap="square" lIns="0" tIns="72000" rIns="0" bIns="0" anchor="t" anchorCtr="0" upright="1">
                              <a:noAutofit/>
                            </wps:bodyPr>
                          </wps:wsp>
                        </wpg:grpSp>
                      </wpg:grpSp>
                    </wpg:wgp>
                  </a:graphicData>
                </a:graphic>
              </wp:anchor>
            </w:drawing>
          </mc:Choice>
          <mc:Fallback>
            <w:pict>
              <v:group id="Group 228" o:spid="_x0000_s1026" o:spt="203" style="position:absolute;left:0pt;margin-left:-8.1pt;margin-top:59.85pt;height:579.2pt;width:431.9pt;z-index:251669504;mso-width-relative:page;mso-height-relative:page;" coordorigin="1681,3088" coordsize="8638,11584" o:gfxdata="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">
                <o:lock v:ext="edit" aspectratio="f"/>
                <v:line id="Line 229" o:spid="_x0000_s1026" o:spt="20" style="position:absolute;left:7135;top:4113;height:7141;width: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Group 230" o:spid="_x0000_s1026" o:spt="203" style="position:absolute;left:1681;top:3088;height:11584;width:8638;" coordorigin="1681,3088" coordsize="8638,11584"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Text Box 231" o:spid="_x0000_s1026" o:spt="202" type="#_x0000_t202" style="position:absolute;left:1681;top:11712;height:2960;width:8638;" fillcolor="#FFFFFF" filled="t" stroked="t" coordsize="21600,21600" o:gfxdata="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9c8H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2.54mm,1mm,2.54mm,0mm">
                      <w:txbxContent>
                        <w:p>
                          <w:pPr>
                            <w:snapToGrid w:val="0"/>
                            <w:ind w:firstLine="480"/>
                            <w:jc w:val="left"/>
                            <w:rPr>
                              <w:rFonts w:ascii="宋体" w:hAnsi="宋体"/>
                              <w:snapToGrid w:val="0"/>
                              <w:kern w:val="0"/>
                              <w:szCs w:val="21"/>
                            </w:rPr>
                          </w:pPr>
                          <w:r>
                            <w:rPr>
                              <w:rFonts w:hint="eastAsia" w:ascii="宋体" w:hAnsi="宋体"/>
                              <w:snapToGrid w:val="0"/>
                              <w:kern w:val="0"/>
                              <w:szCs w:val="21"/>
                            </w:rPr>
                            <w:t>实  施  目  标1、</w:t>
                          </w:r>
                          <w:r>
                            <w:rPr>
                              <w:rFonts w:hint="eastAsia" w:asciiTheme="minorEastAsia" w:hAnsiTheme="minorEastAsia"/>
                            </w:rPr>
                            <w:t>安全生产实现零重大安全责任事故（即不发生较大及以上安全生产责任事故，不发生一类火灾事故）、零新增现岗职业病，保护员工的生命和财产安全，维护员工的职业健康权益，让员工成为安全快乐有尊严的从业者，努力建设“平安中车”、“健康中车”。</w:t>
                          </w:r>
                        </w:p>
                        <w:p>
                          <w:pPr>
                            <w:ind w:firstLine="480"/>
                            <w:rPr>
                              <w:rFonts w:ascii="宋体" w:hAnsi="宋体"/>
                              <w:snapToGrid w:val="0"/>
                              <w:kern w:val="0"/>
                              <w:szCs w:val="21"/>
                            </w:rPr>
                          </w:pPr>
                          <w:r>
                            <w:rPr>
                              <w:rFonts w:hint="eastAsia" w:ascii="宋体" w:hAnsi="宋体"/>
                              <w:snapToGrid w:val="0"/>
                              <w:kern w:val="0"/>
                              <w:szCs w:val="21"/>
                            </w:rPr>
                            <w:t>2、“三创建”：</w:t>
                          </w:r>
                          <w:r>
                            <w:rPr>
                              <w:rFonts w:ascii="宋体" w:hAnsi="宋体"/>
                              <w:snapToGrid w:val="0"/>
                              <w:kern w:val="0"/>
                              <w:szCs w:val="21"/>
                            </w:rPr>
                            <w:t>创建局安全标准</w:t>
                          </w:r>
                          <w:r>
                            <w:rPr>
                              <w:rFonts w:hint="eastAsia" w:ascii="宋体" w:hAnsi="宋体"/>
                              <w:snapToGrid w:val="0"/>
                              <w:kern w:val="0"/>
                              <w:szCs w:val="21"/>
                            </w:rPr>
                            <w:t>化</w:t>
                          </w:r>
                          <w:r>
                            <w:rPr>
                              <w:rFonts w:ascii="宋体" w:hAnsi="宋体"/>
                              <w:snapToGrid w:val="0"/>
                              <w:kern w:val="0"/>
                              <w:szCs w:val="21"/>
                            </w:rPr>
                            <w:t>工地；创建</w:t>
                          </w:r>
                          <w:r>
                            <w:rPr>
                              <w:rFonts w:hint="eastAsia" w:ascii="宋体" w:hAnsi="宋体"/>
                              <w:snapToGrid w:val="0"/>
                              <w:kern w:val="0"/>
                              <w:szCs w:val="21"/>
                            </w:rPr>
                            <w:t>台州</w:t>
                          </w:r>
                          <w:r>
                            <w:rPr>
                              <w:rFonts w:ascii="宋体" w:hAnsi="宋体"/>
                              <w:snapToGrid w:val="0"/>
                              <w:kern w:val="0"/>
                              <w:szCs w:val="21"/>
                            </w:rPr>
                            <w:t>市级安全文明标准工地；创建浙江省安全文明标准化工地</w:t>
                          </w:r>
                          <w:r>
                            <w:rPr>
                              <w:rFonts w:hint="eastAsia" w:ascii="宋体" w:hAnsi="宋体"/>
                              <w:snapToGrid w:val="0"/>
                              <w:kern w:val="0"/>
                              <w:szCs w:val="21"/>
                            </w:rPr>
                            <w:t>。</w:t>
                          </w:r>
                        </w:p>
                        <w:p>
                          <w:pPr>
                            <w:ind w:firstLine="480"/>
                            <w:rPr>
                              <w:rFonts w:ascii="宋体" w:hAnsi="宋体"/>
                              <w:snapToGrid w:val="0"/>
                              <w:kern w:val="0"/>
                              <w:szCs w:val="21"/>
                            </w:rPr>
                          </w:pPr>
                        </w:p>
                        <w:p>
                          <w:pPr>
                            <w:pStyle w:val="51"/>
                            <w:rPr>
                              <w:rFonts w:ascii="宋体" w:eastAsia="宋体"/>
                            </w:rPr>
                          </w:pPr>
                        </w:p>
                      </w:txbxContent>
                    </v:textbox>
                  </v:shape>
                  <v:line id="Line 232" o:spid="_x0000_s1026" o:spt="20" style="position:absolute;left:5907;top:11255;height:467;width: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Group 233" o:spid="_x0000_s1026" o:spt="203" style="position:absolute;left:2047;top:3088;height:8170;width:8092;" coordorigin="2047,3088" coordsize="8092,817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未知" o:spid="_x0000_s1026" o:spt="100" style="position:absolute;left:6114;top:6663;height:4310;width:2017;" filled="f" stroked="t" coordsize="1200,2360" o:gfxdata="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WBF74A&#10;AADbAAAADwAAAAAAAAABACAAAAAiAAAAZHJzL2Rvd25yZXYueG1sUEsBAhQAFAAAAAgAh07iQDMv&#10;BZ47AAAAOQAAABAAAAAAAAAAAQAgAAAADQEAAGRycy9zaGFwZXhtbC54bWxQSwUGAAAAAAYABgBb&#10;AQAAtwMAAAAA&#10;" path="m0,0l1200,0,1200,2360,1,2360,0,0xe">
                      <v:path o:connectlocs="0,0;3390,0;3390,6465;3,6465;0,0" o:connectangles="0,0,0,0,0"/>
                      <v:fill on="f" focussize="0,0"/>
                      <v:stroke color="#000000" joinstyle="round"/>
                      <v:imagedata o:title=""/>
                      <o:lock v:ext="edit" aspectratio="f"/>
                    </v:shape>
                    <v:shape id="未知" o:spid="_x0000_s1026" o:spt="100" style="position:absolute;left:4053;top:6696;height:2957;width:1223;" filled="f" stroked="t" coordsize="1200,2360" o:gfxdata="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UkkjLsAAADb&#10;AAAADwAAAAAAAAABACAAAAAiAAAAZHJzL2Rvd25yZXYueG1sUEsBAhQAFAAAAAgAh07iQDMvBZ47&#10;AAAAOQAAABAAAAAAAAAAAQAgAAAACgEAAGRycy9zaGFwZXhtbC54bWxQSwUGAAAAAAYABgBbAQAA&#10;tAMAAAAA&#10;" path="m0,0l1200,0,1200,2360,1,2360,0,0xe">
                      <v:path o:connectlocs="0,0;1246,0;1246,3043;1,3043;0,0" o:connectangles="0,0,0,0,0"/>
                      <v:fill on="f" focussize="0,0"/>
                      <v:stroke color="#000000" joinstyle="round"/>
                      <v:imagedata o:title=""/>
                      <o:lock v:ext="edit" aspectratio="f"/>
                    </v:shape>
                    <v:line id="Line 10" o:spid="_x0000_s1026" o:spt="20" style="position:absolute;left:4665;top:4110;height:7145;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未知" o:spid="_x0000_s1026" o:spt="100" style="position:absolute;left:2668;top:4105;height:7153;width:6766;" filled="f" stroked="t" coordsize="6320,5140" o:gfxdata="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uAgL4A&#10;AADbAAAADwAAAAAAAAABACAAAAAiAAAAZHJzL2Rvd25yZXYueG1sUEsBAhQAFAAAAAgAh07iQDMv&#10;BZ47AAAAOQAAABAAAAAAAAAAAQAgAAAADQEAAGRycy9zaGFwZXhtbC54bWxQSwUGAAAAAAYABgBb&#10;AQAAtwMAAAAA&#10;" path="m0,0l6320,0,6320,5140,1,5140,0,0xe">
                      <v:path o:connectlocs="0,0;7243,0;7243,8177;1,8177;0,0" o:connectangles="0,0,0,0,0"/>
                      <v:fill on="f" focussize="0,0"/>
                      <v:stroke color="#000000" joinstyle="round"/>
                      <v:imagedata o:title=""/>
                      <o:lock v:ext="edit" aspectratio="f"/>
                    </v:shape>
                    <v:shape id="Text Box 12" o:spid="_x0000_s1026" o:spt="202" type="#_x0000_t202" style="position:absolute;left:4379;top:3088;height:621;width:3067;" fillcolor="#FFFFFF" filled="t" stroked="t" coordsize="21600,21600" o:gfxdata="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WVK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sz w:val="28"/>
                                <w:szCs w:val="28"/>
                              </w:rPr>
                            </w:pPr>
                            <w:r>
                              <w:rPr>
                                <w:rFonts w:ascii="宋体" w:eastAsia="宋体"/>
                                <w:sz w:val="28"/>
                                <w:szCs w:val="28"/>
                              </w:rPr>
                              <w:t>安全生产保证体系</w:t>
                            </w:r>
                          </w:p>
                        </w:txbxContent>
                      </v:textbox>
                    </v:shape>
                    <v:shape id="Text Box 13" o:spid="_x0000_s1026" o:spt="202" type="#_x0000_t202" style="position:absolute;left:2047;top:4427;height:638;width:1185;" fillcolor="#FFFFFF" filled="t" stroked="t" coordsize="21600,21600" o:gfxdata="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a8TC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组织保证</w:t>
                            </w:r>
                          </w:p>
                        </w:txbxContent>
                      </v:textbox>
                    </v:shape>
                    <v:shape id="Text Box 14" o:spid="_x0000_s1026" o:spt="202" type="#_x0000_t202" style="position:absolute;left:3956;top:4442;height:605;width:1433;" fillcolor="#FFFFFF" filled="t" stroked="t" coordsize="21600,21600" o:gfxdata="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zaU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思想保证</w:t>
                            </w:r>
                          </w:p>
                        </w:txbxContent>
                      </v:textbox>
                    </v:shape>
                    <v:shape id="Text Box 15" o:spid="_x0000_s1026" o:spt="202" type="#_x0000_t202" style="position:absolute;left:6434;top:4427;height:644;width:1427;" fillcolor="#FFFFFF" filled="t" stroked="t" coordsize="21600,21600" o:gfxdata="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zN+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制度保证</w:t>
                            </w:r>
                          </w:p>
                        </w:txbxContent>
                      </v:textbox>
                    </v:shape>
                    <v:shape id="Text Box 16" o:spid="_x0000_s1026" o:spt="202" type="#_x0000_t202" style="position:absolute;left:8879;top:4409;height:609;width:1260;" fillcolor="#FFFFFF" filled="t" stroked="t" coordsize="21600,21600" o:gfxdata="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61Sq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经济保证</w:t>
                            </w:r>
                          </w:p>
                        </w:txbxContent>
                      </v:textbox>
                    </v:shape>
                    <v:shape id="Text Box 17" o:spid="_x0000_s1026" o:spt="202" type="#_x0000_t202" style="position:absolute;left:2075;top:5794;height:1011;width:1173;" fillcolor="#FFFFFF" filled="t" stroked="t" coordsize="21600,21600" o:gfxdata="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H3M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安全生产</w:t>
                            </w:r>
                          </w:p>
                          <w:p>
                            <w:pPr>
                              <w:pStyle w:val="53"/>
                              <w:rPr>
                                <w:rFonts w:ascii="宋体" w:eastAsia="宋体"/>
                              </w:rPr>
                            </w:pPr>
                            <w:r>
                              <w:rPr>
                                <w:rFonts w:ascii="宋体" w:eastAsia="宋体"/>
                              </w:rPr>
                              <w:t>领导小组</w:t>
                            </w:r>
                          </w:p>
                        </w:txbxContent>
                      </v:textbox>
                    </v:shape>
                    <v:shape id="Text Box 18" o:spid="_x0000_s1026" o:spt="202" type="#_x0000_t202" style="position:absolute;left:3960;top:5400;height:1009;width:1424;" fillcolor="#FFFFFF" filled="t" stroked="t" coordsize="21600,21600" o:gfxdata="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X5jQbUAAADb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提高全员</w:t>
                            </w:r>
                          </w:p>
                          <w:p>
                            <w:pPr>
                              <w:pStyle w:val="53"/>
                              <w:rPr>
                                <w:rFonts w:ascii="宋体" w:eastAsia="宋体"/>
                              </w:rPr>
                            </w:pPr>
                            <w:r>
                              <w:rPr>
                                <w:rFonts w:ascii="宋体" w:eastAsia="宋体"/>
                              </w:rPr>
                              <w:t>安全意识</w:t>
                            </w:r>
                          </w:p>
                        </w:txbxContent>
                      </v:textbox>
                    </v:shape>
                    <v:shape id="Text Box 19" o:spid="_x0000_s1026" o:spt="202" type="#_x0000_t202" style="position:absolute;left:6457;top:5396;height:1012;width:1407;" fillcolor="#FFFFFF" filled="t" stroked="t" coordsize="21600,21600" o:gfxdata="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LG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各项安全</w:t>
                            </w:r>
                          </w:p>
                          <w:p>
                            <w:pPr>
                              <w:pStyle w:val="53"/>
                              <w:rPr>
                                <w:rFonts w:ascii="宋体" w:eastAsia="宋体"/>
                              </w:rPr>
                            </w:pPr>
                            <w:r>
                              <w:rPr>
                                <w:rFonts w:ascii="宋体" w:eastAsia="宋体"/>
                              </w:rPr>
                              <w:t>生产制度</w:t>
                            </w:r>
                          </w:p>
                        </w:txbxContent>
                      </v:textbox>
                    </v:shape>
                    <v:shape id="Text Box 20" o:spid="_x0000_s1026" o:spt="202" type="#_x0000_t202" style="position:absolute;left:8879;top:5358;height:1038;width:1260;" fillcolor="#FFFFFF" filled="t" stroked="t" coordsize="21600,21600" o:gfxdata="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tH5mrUAAADb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安全生产</w:t>
                            </w:r>
                          </w:p>
                          <w:p>
                            <w:pPr>
                              <w:pStyle w:val="53"/>
                              <w:rPr>
                                <w:rFonts w:ascii="宋体" w:eastAsia="宋体"/>
                              </w:rPr>
                            </w:pPr>
                            <w:r>
                              <w:rPr>
                                <w:rFonts w:ascii="宋体" w:eastAsia="宋体"/>
                              </w:rPr>
                              <w:t>责任制</w:t>
                            </w:r>
                          </w:p>
                        </w:txbxContent>
                      </v:textbox>
                    </v:shape>
                    <v:shape id="Text Box 21" o:spid="_x0000_s1026" o:spt="202" type="#_x0000_t202" style="position:absolute;left:6420;top:6982;height:3733;width:424;" fillcolor="#FFFFFF" filled="t" stroked="t" coordsize="21600,21600" o:gfxdata="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I3C/&#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inset="1mm,4mm,1mm,0mm">
                        <w:txbxContent>
                          <w:p>
                            <w:pPr>
                              <w:pStyle w:val="53"/>
                              <w:rPr>
                                <w:rFonts w:ascii="宋体" w:eastAsia="宋体"/>
                              </w:rPr>
                            </w:pPr>
                            <w:r>
                              <w:rPr>
                                <w:rFonts w:ascii="宋体" w:eastAsia="宋体"/>
                              </w:rPr>
                              <w:t>工种安全操作规程</w:t>
                            </w:r>
                          </w:p>
                        </w:txbxContent>
                      </v:textbox>
                    </v:shape>
                    <v:shape id="Text Box 22" o:spid="_x0000_s1026" o:spt="202" type="#_x0000_t202" style="position:absolute;left:7455;top:6968;height:3714;width:386;" fillcolor="#FFFFFF" filled="t" stroked="t" coordsize="21600,21600" o:gfxdata="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eWd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4mm,0mm,0mm">
                        <w:txbxContent>
                          <w:p>
                            <w:pPr>
                              <w:pStyle w:val="53"/>
                              <w:rPr>
                                <w:rFonts w:ascii="宋体" w:eastAsia="宋体"/>
                              </w:rPr>
                            </w:pPr>
                            <w:r>
                              <w:rPr>
                                <w:rFonts w:hint="eastAsia" w:ascii="宋体" w:eastAsia="宋体"/>
                              </w:rPr>
                              <w:t>安全生产奖惩</w:t>
                            </w:r>
                            <w:r>
                              <w:rPr>
                                <w:rFonts w:ascii="宋体" w:eastAsia="宋体"/>
                              </w:rPr>
                              <w:t>制度</w:t>
                            </w:r>
                          </w:p>
                        </w:txbxContent>
                      </v:textbox>
                    </v:shape>
                    <v:shape id="Text Box 23" o:spid="_x0000_s1026" o:spt="202" type="#_x0000_t202" style="position:absolute;left:8879;top:10305;height:551;width:1260;" fillcolor="#FFFFFF" filled="t" stroked="t" coordsize="21600,21600" o:gfxdata="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Z+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经济兑现</w:t>
                            </w:r>
                          </w:p>
                        </w:txbxContent>
                      </v:textbox>
                    </v:shape>
                    <v:shape id="Text Box 24" o:spid="_x0000_s1026" o:spt="202" type="#_x0000_t202" style="position:absolute;left:8879;top:9553;height:570;width:1260;" fillcolor="#FFFFFF" filled="t" stroked="t" coordsize="21600,21600" o:gfxdata="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q/5m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责任考核</w:t>
                            </w:r>
                          </w:p>
                        </w:txbxContent>
                      </v:textbox>
                    </v:shape>
                    <v:shape id="Text Box 25" o:spid="_x0000_s1026" o:spt="202" type="#_x0000_t202" style="position:absolute;left:3828;top:7006;height:2394;width:448;" fillcolor="#FFFFFF" filled="t" stroked="t" coordsize="21600,21600" o:gfxdata="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1cAM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3mm,0mm,0mm">
                        <w:txbxContent>
                          <w:p>
                            <w:pPr>
                              <w:pStyle w:val="53"/>
                              <w:rPr>
                                <w:rFonts w:ascii="宋体" w:eastAsia="宋体"/>
                              </w:rPr>
                            </w:pPr>
                            <w:r>
                              <w:rPr>
                                <w:rFonts w:hint="eastAsia" w:ascii="宋体" w:eastAsia="宋体"/>
                              </w:rPr>
                              <w:t>日</w:t>
                            </w:r>
                          </w:p>
                          <w:p>
                            <w:pPr>
                              <w:pStyle w:val="53"/>
                              <w:rPr>
                                <w:rFonts w:ascii="宋体" w:eastAsia="宋体"/>
                              </w:rPr>
                            </w:pPr>
                            <w:r>
                              <w:rPr>
                                <w:rFonts w:hint="eastAsia" w:ascii="宋体" w:eastAsia="宋体"/>
                              </w:rPr>
                              <w:t>常</w:t>
                            </w:r>
                          </w:p>
                          <w:p>
                            <w:pPr>
                              <w:pStyle w:val="53"/>
                              <w:rPr>
                                <w:rFonts w:ascii="宋体" w:eastAsia="宋体"/>
                              </w:rPr>
                            </w:pPr>
                            <w:r>
                              <w:rPr>
                                <w:rFonts w:hint="eastAsia" w:ascii="宋体" w:eastAsia="宋体"/>
                              </w:rPr>
                              <w:t>安</w:t>
                            </w:r>
                          </w:p>
                          <w:p>
                            <w:pPr>
                              <w:pStyle w:val="53"/>
                              <w:rPr>
                                <w:rFonts w:ascii="宋体" w:eastAsia="宋体"/>
                              </w:rPr>
                            </w:pPr>
                            <w:r>
                              <w:rPr>
                                <w:rFonts w:hint="eastAsia" w:ascii="宋体" w:eastAsia="宋体"/>
                              </w:rPr>
                              <w:t>全</w:t>
                            </w:r>
                          </w:p>
                          <w:p>
                            <w:pPr>
                              <w:pStyle w:val="53"/>
                              <w:rPr>
                                <w:rFonts w:ascii="宋体" w:eastAsia="宋体"/>
                              </w:rPr>
                            </w:pPr>
                            <w:r>
                              <w:rPr>
                                <w:rFonts w:hint="eastAsia" w:ascii="宋体" w:eastAsia="宋体"/>
                              </w:rPr>
                              <w:t>教</w:t>
                            </w:r>
                          </w:p>
                          <w:p>
                            <w:pPr>
                              <w:pStyle w:val="53"/>
                              <w:rPr>
                                <w:rFonts w:ascii="宋体" w:eastAsia="宋体"/>
                              </w:rPr>
                            </w:pPr>
                            <w:r>
                              <w:rPr>
                                <w:rFonts w:hint="eastAsia" w:ascii="宋体" w:eastAsia="宋体"/>
                              </w:rPr>
                              <w:t>育</w:t>
                            </w:r>
                          </w:p>
                        </w:txbxContent>
                      </v:textbox>
                    </v:shape>
                    <v:shape id="Text Box 26" o:spid="_x0000_s1026" o:spt="202" type="#_x0000_t202" style="position:absolute;left:5068;top:7001;height:2399;width:428;" fillcolor="#FFFFFF" filled="t" stroked="t" coordsize="21600,21600" o:gfxdata="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WeR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3mm,0mm,0mm">
                        <w:txbxContent>
                          <w:p>
                            <w:pPr>
                              <w:pStyle w:val="53"/>
                              <w:rPr>
                                <w:rFonts w:ascii="宋体" w:eastAsia="宋体"/>
                              </w:rPr>
                            </w:pPr>
                            <w:r>
                              <w:rPr>
                                <w:rFonts w:hint="eastAsia" w:ascii="宋体" w:eastAsia="宋体"/>
                              </w:rPr>
                              <w:t>进</w:t>
                            </w:r>
                          </w:p>
                          <w:p>
                            <w:pPr>
                              <w:pStyle w:val="53"/>
                              <w:rPr>
                                <w:rFonts w:ascii="宋体" w:eastAsia="宋体"/>
                              </w:rPr>
                            </w:pPr>
                            <w:r>
                              <w:rPr>
                                <w:rFonts w:hint="eastAsia" w:ascii="宋体" w:eastAsia="宋体"/>
                              </w:rPr>
                              <w:t>场</w:t>
                            </w:r>
                          </w:p>
                          <w:p>
                            <w:pPr>
                              <w:pStyle w:val="53"/>
                              <w:rPr>
                                <w:rFonts w:ascii="宋体" w:eastAsia="宋体"/>
                              </w:rPr>
                            </w:pPr>
                            <w:r>
                              <w:rPr>
                                <w:rFonts w:hint="eastAsia" w:ascii="宋体" w:eastAsia="宋体"/>
                              </w:rPr>
                              <w:t>人</w:t>
                            </w:r>
                          </w:p>
                          <w:p>
                            <w:pPr>
                              <w:pStyle w:val="53"/>
                              <w:rPr>
                                <w:rFonts w:ascii="宋体" w:eastAsia="宋体"/>
                              </w:rPr>
                            </w:pPr>
                            <w:r>
                              <w:rPr>
                                <w:rFonts w:hint="eastAsia" w:ascii="宋体" w:eastAsia="宋体"/>
                              </w:rPr>
                              <w:t>员</w:t>
                            </w:r>
                          </w:p>
                          <w:p>
                            <w:pPr>
                              <w:pStyle w:val="53"/>
                              <w:rPr>
                                <w:rFonts w:ascii="宋体" w:eastAsia="宋体"/>
                              </w:rPr>
                            </w:pPr>
                            <w:r>
                              <w:rPr>
                                <w:rFonts w:hint="eastAsia" w:ascii="宋体" w:eastAsia="宋体"/>
                              </w:rPr>
                              <w:t>三</w:t>
                            </w:r>
                          </w:p>
                          <w:p>
                            <w:pPr>
                              <w:pStyle w:val="53"/>
                              <w:rPr>
                                <w:rFonts w:ascii="宋体" w:eastAsia="宋体"/>
                              </w:rPr>
                            </w:pPr>
                            <w:r>
                              <w:rPr>
                                <w:rFonts w:hint="eastAsia" w:ascii="宋体" w:eastAsia="宋体"/>
                              </w:rPr>
                              <w:t>级</w:t>
                            </w:r>
                          </w:p>
                          <w:p>
                            <w:pPr>
                              <w:pStyle w:val="53"/>
                              <w:rPr>
                                <w:rFonts w:ascii="宋体" w:eastAsia="宋体"/>
                              </w:rPr>
                            </w:pPr>
                            <w:r>
                              <w:rPr>
                                <w:rFonts w:hint="eastAsia" w:ascii="宋体" w:eastAsia="宋体"/>
                              </w:rPr>
                              <w:t>教</w:t>
                            </w:r>
                          </w:p>
                          <w:p>
                            <w:pPr>
                              <w:pStyle w:val="53"/>
                              <w:rPr>
                                <w:rFonts w:ascii="宋体" w:eastAsia="宋体"/>
                              </w:rPr>
                            </w:pPr>
                            <w:r>
                              <w:rPr>
                                <w:rFonts w:hint="eastAsia" w:ascii="宋体" w:eastAsia="宋体"/>
                              </w:rPr>
                              <w:t>育</w:t>
                            </w:r>
                          </w:p>
                        </w:txbxContent>
                      </v:textbox>
                    </v:shape>
                    <v:shape id="Text Box 27" o:spid="_x0000_s1026" o:spt="202" type="#_x0000_t202" style="position:absolute;left:4470;top:7019;height:2385;width:428;" fillcolor="#FFFFFF" filled="t" stroked="t" coordsize="21600,21600" o:gfxdata="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k73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3mm,0mm,0mm">
                        <w:txbxContent>
                          <w:p>
                            <w:pPr>
                              <w:pStyle w:val="53"/>
                              <w:rPr>
                                <w:rFonts w:ascii="宋体" w:eastAsia="宋体"/>
                              </w:rPr>
                            </w:pPr>
                            <w:r>
                              <w:rPr>
                                <w:rFonts w:hint="eastAsia" w:ascii="宋体" w:eastAsia="宋体"/>
                              </w:rPr>
                              <w:t>班</w:t>
                            </w:r>
                          </w:p>
                          <w:p>
                            <w:pPr>
                              <w:pStyle w:val="53"/>
                              <w:rPr>
                                <w:rFonts w:ascii="宋体" w:eastAsia="宋体"/>
                              </w:rPr>
                            </w:pPr>
                            <w:r>
                              <w:rPr>
                                <w:rFonts w:hint="eastAsia" w:ascii="宋体" w:eastAsia="宋体"/>
                              </w:rPr>
                              <w:t>前</w:t>
                            </w:r>
                          </w:p>
                          <w:p>
                            <w:pPr>
                              <w:pStyle w:val="53"/>
                              <w:rPr>
                                <w:rFonts w:ascii="宋体" w:eastAsia="宋体"/>
                              </w:rPr>
                            </w:pPr>
                            <w:r>
                              <w:rPr>
                                <w:rFonts w:hint="eastAsia" w:ascii="宋体" w:eastAsia="宋体"/>
                              </w:rPr>
                              <w:t>讲</w:t>
                            </w:r>
                          </w:p>
                          <w:p>
                            <w:pPr>
                              <w:pStyle w:val="53"/>
                              <w:rPr>
                                <w:rFonts w:ascii="宋体" w:eastAsia="宋体"/>
                              </w:rPr>
                            </w:pPr>
                            <w:r>
                              <w:rPr>
                                <w:rFonts w:hint="eastAsia" w:ascii="宋体" w:eastAsia="宋体"/>
                              </w:rPr>
                              <w:t>话</w:t>
                            </w:r>
                          </w:p>
                        </w:txbxContent>
                      </v:textbox>
                    </v:shape>
                    <v:shape id="Text Box 28" o:spid="_x0000_s1026" o:spt="202" type="#_x0000_t202" style="position:absolute;left:5910;top:6997;height:3735;width:425;" fillcolor="#FFFFFF" filled="t" stroked="t" coordsize="21600,21600" o:gfxdata="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Fiu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mm,4mm,1mm,0mm">
                        <w:txbxContent>
                          <w:p>
                            <w:pPr>
                              <w:pStyle w:val="53"/>
                              <w:rPr>
                                <w:rFonts w:ascii="宋体" w:eastAsia="宋体"/>
                              </w:rPr>
                            </w:pPr>
                            <w:r>
                              <w:rPr>
                                <w:rFonts w:hint="eastAsia" w:ascii="宋体" w:eastAsia="宋体"/>
                              </w:rPr>
                              <w:t>现场安全文明施工</w:t>
                            </w:r>
                            <w:r>
                              <w:rPr>
                                <w:rFonts w:ascii="宋体" w:eastAsia="宋体"/>
                              </w:rPr>
                              <w:t>制度</w:t>
                            </w:r>
                          </w:p>
                        </w:txbxContent>
                      </v:textbox>
                    </v:shape>
                    <v:line id="Line 29" o:spid="_x0000_s1026" o:spt="20" style="position:absolute;left:6007;top:3708;height:393;width:0;"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Text Box 30" o:spid="_x0000_s1026" o:spt="202" type="#_x0000_t202" style="position:absolute;left:2051;top:7590;height:635;width:1185;" fillcolor="#FFFFFF" filled="t" stroked="t" coordsize="21600,21600" o:gfxdata="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teK57UAAADb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inset="0mm,2mm,0mm,0mm">
                        <w:txbxContent>
                          <w:p>
                            <w:pPr>
                              <w:pStyle w:val="53"/>
                              <w:rPr>
                                <w:rFonts w:ascii="宋体" w:eastAsia="宋体"/>
                              </w:rPr>
                            </w:pPr>
                            <w:r>
                              <w:rPr>
                                <w:rFonts w:hint="eastAsia" w:ascii="宋体" w:eastAsia="宋体"/>
                              </w:rPr>
                              <w:t>安质部长</w:t>
                            </w:r>
                          </w:p>
                        </w:txbxContent>
                      </v:textbox>
                    </v:shape>
                    <v:shape id="Text Box 31" o:spid="_x0000_s1026" o:spt="202" type="#_x0000_t202" style="position:absolute;left:2102;top:9062;height:638;width:1185;" fillcolor="#FFFFFF" filled="t" stroked="t" coordsize="21600,21600" o:gfxdata="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bL3y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专职安全员</w:t>
                            </w:r>
                          </w:p>
                        </w:txbxContent>
                      </v:textbox>
                    </v:shape>
                    <v:shape id="Text Box 32" o:spid="_x0000_s1026" o:spt="202" type="#_x0000_t202" style="position:absolute;left:2089;top:10380;height:638;width:1185;" fillcolor="#FFFFFF" filled="t" stroked="t" coordsize="21600,21600" o:gfxdata="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JsQ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兼职安全员</w:t>
                            </w:r>
                          </w:p>
                        </w:txbxContent>
                      </v:textbox>
                    </v:shape>
                    <v:shape id="Text Box 33" o:spid="_x0000_s1026" o:spt="202" type="#_x0000_t202" style="position:absolute;left:7944;top:6968;height:3714;width:407;" fillcolor="#FFFFFF" filled="t" stroked="t" coordsize="21600,21600" o:gfxdata="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FI87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4mm,0mm,0mm">
                        <w:txbxContent>
                          <w:p>
                            <w:pPr>
                              <w:pStyle w:val="53"/>
                              <w:spacing w:line="216" w:lineRule="auto"/>
                              <w:rPr>
                                <w:rFonts w:ascii="宋体" w:eastAsia="宋体"/>
                              </w:rPr>
                            </w:pPr>
                            <w:r>
                              <w:rPr>
                                <w:rFonts w:hint="eastAsia" w:ascii="宋体" w:eastAsia="宋体"/>
                              </w:rPr>
                              <w:t>安全生产事故报告与处理</w:t>
                            </w:r>
                          </w:p>
                        </w:txbxContent>
                      </v:textbox>
                    </v:shape>
                    <v:shape id="Text Box 34" o:spid="_x0000_s1026" o:spt="202" type="#_x0000_t202" style="position:absolute;left:8879;top:6688;height:580;width:1260;" fillcolor="#FFFFFF" filled="t" stroked="t" coordsize="21600,21600" o:gfxdata="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sjO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项目经理</w:t>
                            </w:r>
                          </w:p>
                        </w:txbxContent>
                      </v:textbox>
                    </v:shape>
                    <v:shape id="Text Box 35" o:spid="_x0000_s1026" o:spt="202" type="#_x0000_t202" style="position:absolute;left:8879;top:7637;height:579;width:1260;" fillcolor="#FFFFFF" filled="t" stroked="t" coordsize="21600,21600" o:gfxdata="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gKX+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hint="eastAsia" w:ascii="宋体" w:eastAsia="宋体"/>
                              </w:rPr>
                              <w:t>工区负责人</w:t>
                            </w:r>
                          </w:p>
                        </w:txbxContent>
                      </v:textbox>
                    </v:shape>
                    <v:shape id="Text Box 36" o:spid="_x0000_s1026" o:spt="202" type="#_x0000_t202" style="position:absolute;left:3764;top:9927;height:1011;width:1618;" fillcolor="#FFFFFF" filled="t" stroked="t" coordsize="21600,21600" o:gfxdata="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ytwi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施工安全</w:t>
                            </w:r>
                          </w:p>
                          <w:p>
                            <w:pPr>
                              <w:pStyle w:val="53"/>
                              <w:rPr>
                                <w:rFonts w:ascii="宋体" w:eastAsia="宋体"/>
                              </w:rPr>
                            </w:pPr>
                            <w:r>
                              <w:rPr>
                                <w:rFonts w:ascii="宋体" w:eastAsia="宋体"/>
                              </w:rPr>
                              <w:t>技术规程教育</w:t>
                            </w:r>
                          </w:p>
                        </w:txbxContent>
                      </v:textbox>
                    </v:shape>
                    <v:shape id="Text Box 37" o:spid="_x0000_s1026" o:spt="202" type="#_x0000_t202" style="position:absolute;left:6922;top:6956;height:3735;width:423;" fillcolor="#FFFFFF" filled="t" stroked="t" coordsize="21600,21600" o:gfxdata="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HG3i&#10;wAAAANs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inset="1mm,4mm,1mm,0mm">
                        <w:txbxContent>
                          <w:p>
                            <w:pPr>
                              <w:pStyle w:val="53"/>
                              <w:rPr>
                                <w:rFonts w:ascii="宋体" w:eastAsia="宋体"/>
                              </w:rPr>
                            </w:pPr>
                            <w:r>
                              <w:rPr>
                                <w:rFonts w:ascii="宋体" w:eastAsia="宋体"/>
                              </w:rPr>
                              <w:t>安全检查制度</w:t>
                            </w:r>
                          </w:p>
                        </w:txbxContent>
                      </v:textbox>
                    </v:shape>
                    <v:shape id="Text Box 38" o:spid="_x0000_s1026" o:spt="202" type="#_x0000_t202" style="position:absolute;left:8879;top:8587;height:577;width:1260;" fillcolor="#FFFFFF" filled="t" stroked="t" coordsize="21600,21600" o:gfxdata="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KGG4bUAAADb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inset="0mm,2mm,0mm,0mm">
                        <w:txbxContent>
                          <w:p>
                            <w:pPr>
                              <w:pStyle w:val="53"/>
                              <w:rPr>
                                <w:rFonts w:ascii="宋体" w:eastAsia="宋体"/>
                              </w:rPr>
                            </w:pPr>
                            <w:r>
                              <w:rPr>
                                <w:rFonts w:ascii="宋体" w:eastAsia="宋体"/>
                              </w:rPr>
                              <w:t>各工班长</w:t>
                            </w:r>
                          </w:p>
                        </w:txbxContent>
                      </v:textbox>
                    </v:shape>
                  </v:group>
                </v:group>
              </v:group>
            </w:pict>
          </mc:Fallback>
        </mc:AlternateContent>
      </w:r>
      <w:r>
        <w:rPr>
          <w:rFonts w:asciiTheme="minorEastAsia" w:hAnsiTheme="minorEastAsia"/>
        </w:rPr>
        <mc:AlternateContent>
          <mc:Choice Requires="wps">
            <w:drawing>
              <wp:anchor distT="0" distB="0" distL="114300" distR="114300" simplePos="0" relativeHeight="251668480" behindDoc="0" locked="0" layoutInCell="1" allowOverlap="1">
                <wp:simplePos x="0" y="0"/>
                <wp:positionH relativeFrom="column">
                  <wp:posOffset>2581275</wp:posOffset>
                </wp:positionH>
                <wp:positionV relativeFrom="paragraph">
                  <wp:posOffset>6127750</wp:posOffset>
                </wp:positionV>
                <wp:extent cx="0" cy="296545"/>
                <wp:effectExtent l="9525" t="6985" r="9525" b="10795"/>
                <wp:wrapNone/>
                <wp:docPr id="11" name="Line 6"/>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203.25pt;margin-top:482.5pt;height:23.35pt;width:0pt;z-index:251668480;mso-width-relative:page;mso-height-relative:page;" filled="f" stroked="t" coordsize="21600,21600" o:gfxdata="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dzyV9gAAAAMAQAADwAAAAAAAAABACAAAAAiAAAAZHJzL2Rv&#10;d25yZXYueG1sUEsBAhQAFAAAAAgAh07iQPtFeCTIAQAAnwMAAA4AAAAAAAAAAQAgAAAAJwEAAGRy&#10;cy9lMm9Eb2MueG1sUEsFBgAAAAAGAAYAWQEAAGEFAAAAAA==&#10;">
                <v:fill on="f" focussize="0,0"/>
                <v:stroke color="#000000" joinstyle="round"/>
                <v:imagedata o:title=""/>
                <o:lock v:ext="edit" aspectratio="f"/>
              </v:line>
            </w:pict>
          </mc:Fallback>
        </mc:AlternateContent>
      </w:r>
      <w:r>
        <w:rPr>
          <w:rFonts w:hint="eastAsia" w:asciiTheme="minorEastAsia" w:hAnsiTheme="minorEastAsia"/>
        </w:rPr>
        <w:br w:type="page"/>
      </w:r>
    </w:p>
    <w:p>
      <w:pPr>
        <w:pStyle w:val="2"/>
      </w:pPr>
      <w:bookmarkStart w:id="42" w:name="_Toc13323"/>
      <w:bookmarkStart w:id="43" w:name="_Toc20259"/>
      <w:r>
        <w:rPr>
          <w:rFonts w:hint="eastAsia"/>
        </w:rPr>
        <w:t>二、安全文明施工费管理办法</w:t>
      </w:r>
      <w:bookmarkEnd w:id="42"/>
      <w:bookmarkEnd w:id="43"/>
    </w:p>
    <w:p>
      <w:pPr>
        <w:pStyle w:val="3"/>
        <w:widowControl w:val="0"/>
      </w:pPr>
      <w:bookmarkStart w:id="44" w:name="_Toc524073743"/>
      <w:bookmarkStart w:id="45" w:name="_Toc17300"/>
      <w:r>
        <w:rPr>
          <w:rFonts w:hint="eastAsia"/>
        </w:rPr>
        <w:t>第一章 总则</w:t>
      </w:r>
      <w:bookmarkEnd w:id="44"/>
      <w:bookmarkEnd w:id="45"/>
    </w:p>
    <w:p>
      <w:pPr>
        <w:pStyle w:val="47"/>
        <w:widowControl w:val="0"/>
        <w:spacing w:line="360" w:lineRule="auto"/>
        <w:ind w:firstLine="482" w:firstLineChars="200"/>
        <w:jc w:val="both"/>
        <w:rPr>
          <w:rFonts w:cs="Times New Roman" w:asciiTheme="minorEastAsia" w:hAnsiTheme="minorEastAsia" w:eastAsiaTheme="minorEastAsia"/>
          <w:kern w:val="2"/>
        </w:rPr>
      </w:pPr>
      <w:r>
        <w:rPr>
          <w:rFonts w:hint="eastAsia" w:cs="Times New Roman" w:asciiTheme="minorEastAsia" w:hAnsiTheme="minorEastAsia" w:eastAsiaTheme="minorEastAsia"/>
          <w:b/>
          <w:kern w:val="2"/>
        </w:rPr>
        <w:t>第一条</w:t>
      </w:r>
      <w:r>
        <w:rPr>
          <w:rFonts w:hint="eastAsia" w:ascii="仿宋" w:hAnsi="仿宋" w:eastAsia="仿宋" w:cs="仿宋"/>
          <w:b/>
          <w:bCs/>
          <w:sz w:val="28"/>
          <w:szCs w:val="28"/>
        </w:rPr>
        <w:t xml:space="preserve"> </w:t>
      </w:r>
      <w:r>
        <w:rPr>
          <w:rFonts w:hint="eastAsia" w:cs="Times New Roman" w:asciiTheme="minorEastAsia" w:hAnsiTheme="minorEastAsia" w:eastAsiaTheme="minorEastAsia"/>
          <w:kern w:val="2"/>
        </w:rPr>
        <w:t>为保障安全生产投入的有效实施，根据《安全生产法》、建设部《</w:t>
      </w:r>
      <w:bookmarkStart w:id="46" w:name="OLE_LINK1"/>
      <w:bookmarkStart w:id="47" w:name="OLE_LINK2"/>
      <w:r>
        <w:rPr>
          <w:rFonts w:hint="eastAsia" w:cs="Times New Roman" w:asciiTheme="minorEastAsia" w:hAnsiTheme="minorEastAsia" w:eastAsiaTheme="minorEastAsia"/>
          <w:kern w:val="2"/>
        </w:rPr>
        <w:t>建筑工程安全防护、文明施工措施费用及使用管</w:t>
      </w:r>
      <w:r>
        <w:rPr>
          <w:rFonts w:hint="eastAsia" w:ascii="Times New Roman" w:hAnsi="Times New Roman" w:cs="Times New Roman" w:eastAsiaTheme="minorEastAsia"/>
          <w:kern w:val="2"/>
        </w:rPr>
        <w:t>理规定</w:t>
      </w:r>
      <w:bookmarkEnd w:id="46"/>
      <w:bookmarkEnd w:id="47"/>
      <w:r>
        <w:rPr>
          <w:rFonts w:hint="eastAsia" w:ascii="Times New Roman" w:hAnsi="Times New Roman" w:cs="Times New Roman" w:eastAsiaTheme="minorEastAsia"/>
          <w:kern w:val="2"/>
        </w:rPr>
        <w:t>》（建办</w:t>
      </w:r>
      <w:r>
        <w:rPr>
          <w:rFonts w:ascii="Times New Roman" w:hAnsi="Times New Roman" w:cs="Times New Roman" w:eastAsiaTheme="minorEastAsia"/>
          <w:kern w:val="2"/>
        </w:rPr>
        <w:t>[2005]89</w:t>
      </w:r>
      <w:r>
        <w:rPr>
          <w:rFonts w:hint="eastAsia" w:ascii="Times New Roman" w:hAnsi="Times New Roman" w:cs="Times New Roman" w:eastAsiaTheme="minorEastAsia"/>
          <w:kern w:val="2"/>
        </w:rPr>
        <w:t>号）、财政部/国家安全生产监督管理总局颁布的《企业安全生产费用提取和使用管理办法》（财企</w:t>
      </w:r>
      <w:r>
        <w:rPr>
          <w:rFonts w:ascii="Times New Roman" w:hAnsi="Times New Roman" w:cs="Times New Roman" w:eastAsiaTheme="minorEastAsia"/>
          <w:kern w:val="2"/>
        </w:rPr>
        <w:t>[2012]16</w:t>
      </w:r>
      <w:r>
        <w:rPr>
          <w:rFonts w:hint="eastAsia" w:ascii="Times New Roman" w:hAnsi="Times New Roman" w:cs="Times New Roman" w:eastAsiaTheme="minorEastAsia"/>
          <w:kern w:val="2"/>
        </w:rPr>
        <w:t>号，以下简称《暂行办法》）、《关于颁发浙江省建设工程计价依据（</w:t>
      </w:r>
      <w:r>
        <w:rPr>
          <w:rFonts w:ascii="Times New Roman" w:hAnsi="Times New Roman" w:cs="Times New Roman" w:eastAsiaTheme="minorEastAsia"/>
          <w:kern w:val="2"/>
        </w:rPr>
        <w:t>2010</w:t>
      </w:r>
      <w:r>
        <w:rPr>
          <w:rFonts w:hint="eastAsia" w:ascii="Times New Roman" w:hAnsi="Times New Roman" w:cs="Times New Roman" w:eastAsiaTheme="minorEastAsia"/>
          <w:kern w:val="2"/>
        </w:rPr>
        <w:t>版）的通知》建建发</w:t>
      </w:r>
      <w:r>
        <w:rPr>
          <w:rFonts w:ascii="Times New Roman" w:hAnsi="Times New Roman" w:cs="Times New Roman" w:eastAsiaTheme="minorEastAsia"/>
          <w:kern w:val="2"/>
        </w:rPr>
        <w:t>（2010）224</w:t>
      </w:r>
      <w:r>
        <w:rPr>
          <w:rFonts w:hint="eastAsia" w:ascii="Times New Roman" w:hAnsi="Times New Roman" w:cs="Times New Roman" w:eastAsiaTheme="minorEastAsia"/>
          <w:kern w:val="2"/>
        </w:rPr>
        <w:t>号等法律法规、浙江省相关规定和台州台中轨道交通有限公司（以下简称“项目公司”）的要求，并结合本项目实际，特制定本办法。</w:t>
      </w:r>
    </w:p>
    <w:p>
      <w:pPr>
        <w:pStyle w:val="47"/>
        <w:widowControl w:val="0"/>
        <w:spacing w:line="360" w:lineRule="auto"/>
        <w:ind w:firstLine="482" w:firstLineChars="200"/>
        <w:jc w:val="both"/>
        <w:rPr>
          <w:rFonts w:ascii="仿宋" w:hAnsi="仿宋" w:eastAsia="仿宋" w:cs="仿宋"/>
          <w:sz w:val="28"/>
          <w:szCs w:val="28"/>
        </w:rPr>
      </w:pPr>
      <w:r>
        <w:rPr>
          <w:rFonts w:hint="eastAsia" w:cs="Times New Roman" w:asciiTheme="minorEastAsia" w:hAnsiTheme="minorEastAsia" w:eastAsiaTheme="minorEastAsia"/>
          <w:b/>
          <w:kern w:val="2"/>
        </w:rPr>
        <w:t xml:space="preserve">第二条 </w:t>
      </w:r>
      <w:r>
        <w:rPr>
          <w:rFonts w:hint="eastAsia" w:cs="Times New Roman" w:asciiTheme="minorEastAsia" w:hAnsiTheme="minorEastAsia" w:eastAsiaTheme="minorEastAsia"/>
          <w:kern w:val="2"/>
        </w:rPr>
        <w:t>本办法适用于苏州中车建设工程有限公司台州市域铁</w:t>
      </w:r>
      <w:r>
        <w:rPr>
          <w:rFonts w:hint="eastAsia" w:ascii="Times New Roman" w:hAnsi="Times New Roman" w:cs="Times New Roman" w:eastAsiaTheme="minorEastAsia"/>
          <w:kern w:val="2"/>
        </w:rPr>
        <w:t>路</w:t>
      </w:r>
      <w:r>
        <w:rPr>
          <w:rFonts w:ascii="Times New Roman" w:hAnsi="Times New Roman" w:cs="Times New Roman" w:eastAsiaTheme="minorEastAsia"/>
          <w:kern w:val="2"/>
        </w:rPr>
        <w:t>S1</w:t>
      </w:r>
      <w:r>
        <w:rPr>
          <w:rFonts w:hint="eastAsia" w:ascii="Times New Roman" w:hAnsi="Times New Roman" w:cs="Times New Roman" w:eastAsiaTheme="minorEastAsia"/>
          <w:kern w:val="2"/>
        </w:rPr>
        <w:t>线一期</w:t>
      </w:r>
      <w:r>
        <w:rPr>
          <w:rFonts w:ascii="Times New Roman" w:hAnsi="Times New Roman" w:cs="Times New Roman" w:eastAsiaTheme="minorEastAsia"/>
          <w:kern w:val="2"/>
        </w:rPr>
        <w:t>PPP</w:t>
      </w:r>
      <w:r>
        <w:rPr>
          <w:rFonts w:hint="eastAsia" w:ascii="Times New Roman" w:hAnsi="Times New Roman" w:cs="Times New Roman" w:eastAsiaTheme="minorEastAsia"/>
          <w:kern w:val="2"/>
        </w:rPr>
        <w:t>项目工程总承包项</w:t>
      </w:r>
      <w:r>
        <w:rPr>
          <w:rFonts w:hint="eastAsia" w:cs="Times New Roman" w:asciiTheme="minorEastAsia" w:hAnsiTheme="minorEastAsia" w:eastAsiaTheme="minorEastAsia"/>
          <w:kern w:val="2"/>
        </w:rPr>
        <w:t>目部（以下简称“总承包项目部”）所属各工区使用的安全文明施工费用管理。</w:t>
      </w:r>
    </w:p>
    <w:p>
      <w:pPr>
        <w:pStyle w:val="3"/>
        <w:widowControl w:val="0"/>
      </w:pPr>
      <w:bookmarkStart w:id="48" w:name="_Toc524073744"/>
      <w:bookmarkStart w:id="49" w:name="_Toc18637"/>
      <w:r>
        <w:rPr>
          <w:rFonts w:hint="eastAsia"/>
        </w:rPr>
        <w:t>第二章</w:t>
      </w:r>
      <w:bookmarkEnd w:id="48"/>
      <w:r>
        <w:rPr>
          <w:rFonts w:hint="eastAsia"/>
        </w:rPr>
        <w:t xml:space="preserve"> </w:t>
      </w:r>
      <w:r>
        <w:t>安全文明施工费用计划、资金来源</w:t>
      </w:r>
      <w:bookmarkEnd w:id="49"/>
    </w:p>
    <w:p>
      <w:pPr>
        <w:pStyle w:val="47"/>
        <w:widowControl w:val="0"/>
        <w:spacing w:line="360" w:lineRule="auto"/>
        <w:ind w:firstLine="482" w:firstLineChars="200"/>
        <w:jc w:val="both"/>
        <w:rPr>
          <w:rFonts w:ascii="仿宋" w:hAnsi="仿宋" w:eastAsia="仿宋" w:cs="仿宋"/>
          <w:sz w:val="28"/>
          <w:szCs w:val="28"/>
        </w:rPr>
      </w:pPr>
      <w:r>
        <w:rPr>
          <w:rFonts w:hint="eastAsia" w:cs="Times New Roman" w:asciiTheme="minorEastAsia" w:hAnsiTheme="minorEastAsia" w:eastAsiaTheme="minorEastAsia"/>
          <w:b/>
          <w:kern w:val="2"/>
        </w:rPr>
        <w:t>第三条</w:t>
      </w:r>
      <w:r>
        <w:rPr>
          <w:rFonts w:hint="eastAsia" w:ascii="仿宋" w:hAnsi="仿宋" w:eastAsia="仿宋" w:cs="仿宋"/>
          <w:sz w:val="28"/>
          <w:szCs w:val="28"/>
        </w:rPr>
        <w:t xml:space="preserve"> </w:t>
      </w:r>
      <w:r>
        <w:rPr>
          <w:rFonts w:hint="eastAsia" w:cs="Times New Roman" w:asciiTheme="minorEastAsia" w:hAnsiTheme="minorEastAsia" w:eastAsiaTheme="minorEastAsia"/>
          <w:kern w:val="2"/>
        </w:rPr>
        <w:t>各工区每年的</w:t>
      </w:r>
      <w:r>
        <w:rPr>
          <w:rFonts w:ascii="Times New Roman" w:hAnsi="Times New Roman" w:cs="Times New Roman" w:eastAsiaTheme="minorEastAsia"/>
          <w:kern w:val="2"/>
        </w:rPr>
        <w:t>12</w:t>
      </w:r>
      <w:r>
        <w:rPr>
          <w:rFonts w:hint="eastAsia" w:ascii="Times New Roman" w:hAnsi="Times New Roman" w:cs="Times New Roman" w:eastAsiaTheme="minorEastAsia"/>
          <w:kern w:val="2"/>
        </w:rPr>
        <w:t>月底根据本工区下一年度的生产计划编制本工区下一年度的安全文明施工费用使用计划，经工区</w:t>
      </w:r>
      <w:r>
        <w:rPr>
          <w:rFonts w:hint="eastAsia" w:cs="Times New Roman" w:asciiTheme="minorEastAsia" w:hAnsiTheme="minorEastAsia" w:eastAsiaTheme="minorEastAsia"/>
          <w:kern w:val="2"/>
        </w:rPr>
        <w:t>经理签字后，报总承包项目部审核，经监理单位和项目公司审核后实施。编制年度安全文明施工费用使用计划，要确定项目，落实资金、完成时间和责任人。</w:t>
      </w:r>
    </w:p>
    <w:p>
      <w:pPr>
        <w:widowControl w:val="0"/>
        <w:ind w:firstLine="482"/>
        <w:rPr>
          <w:rFonts w:asciiTheme="minorEastAsia" w:hAnsiTheme="minorEastAsia"/>
        </w:rPr>
      </w:pPr>
      <w:r>
        <w:rPr>
          <w:rFonts w:hint="eastAsia" w:asciiTheme="minorEastAsia" w:hAnsiTheme="minorEastAsia"/>
          <w:b/>
        </w:rPr>
        <w:t>第四条</w:t>
      </w:r>
      <w:r>
        <w:rPr>
          <w:rFonts w:hint="eastAsia" w:ascii="仿宋" w:hAnsi="仿宋" w:eastAsia="仿宋" w:cs="仿宋"/>
          <w:sz w:val="28"/>
          <w:szCs w:val="28"/>
        </w:rPr>
        <w:t xml:space="preserve"> </w:t>
      </w:r>
      <w:r>
        <w:rPr>
          <w:rFonts w:hint="eastAsia" w:asciiTheme="minorEastAsia" w:hAnsiTheme="minorEastAsia"/>
        </w:rPr>
        <w:t>各工区每</w:t>
      </w:r>
      <w:r>
        <w:rPr>
          <w:rFonts w:hint="eastAsia"/>
        </w:rPr>
        <w:t>月</w:t>
      </w:r>
      <w:r>
        <w:t>15</w:t>
      </w:r>
      <w:r>
        <w:rPr>
          <w:rFonts w:hint="eastAsia"/>
        </w:rPr>
        <w:t>日</w:t>
      </w:r>
      <w:r>
        <w:rPr>
          <w:rFonts w:hint="eastAsia" w:asciiTheme="minorEastAsia" w:hAnsiTheme="minorEastAsia"/>
        </w:rPr>
        <w:t>之前，根据总承包项目部下发的施工计划编制本工区本月安全文明施工费用使用表，经监理单位和项目公司审批后实施，并且报总承包项目部安质环保部备案存档。</w:t>
      </w:r>
    </w:p>
    <w:p>
      <w:pPr>
        <w:pStyle w:val="47"/>
        <w:widowControl w:val="0"/>
        <w:spacing w:line="360" w:lineRule="auto"/>
        <w:ind w:firstLine="482" w:firstLineChars="200"/>
        <w:jc w:val="both"/>
        <w:rPr>
          <w:rFonts w:ascii="仿宋" w:hAnsi="仿宋" w:eastAsia="仿宋" w:cs="仿宋"/>
          <w:sz w:val="28"/>
          <w:szCs w:val="28"/>
        </w:rPr>
      </w:pPr>
      <w:r>
        <w:rPr>
          <w:rFonts w:hint="eastAsia" w:cs="Times New Roman" w:asciiTheme="minorEastAsia" w:hAnsiTheme="minorEastAsia" w:eastAsiaTheme="minorEastAsia"/>
          <w:b/>
          <w:kern w:val="2"/>
        </w:rPr>
        <w:t>第五条</w:t>
      </w:r>
      <w:r>
        <w:rPr>
          <w:rFonts w:hint="eastAsia" w:ascii="仿宋" w:hAnsi="仿宋" w:eastAsia="仿宋" w:cs="仿宋"/>
          <w:sz w:val="28"/>
          <w:szCs w:val="28"/>
        </w:rPr>
        <w:t xml:space="preserve"> </w:t>
      </w:r>
      <w:r>
        <w:rPr>
          <w:rFonts w:hint="eastAsia" w:cs="Times New Roman" w:asciiTheme="minorEastAsia" w:hAnsiTheme="minorEastAsia" w:eastAsiaTheme="minorEastAsia"/>
          <w:kern w:val="2"/>
        </w:rPr>
        <w:t>安全施工费用提取标准为建筑安装工程造价的</w:t>
      </w:r>
      <w:r>
        <w:rPr>
          <w:rFonts w:ascii="Times New Roman" w:hAnsi="Times New Roman" w:cs="Times New Roman" w:eastAsiaTheme="minorEastAsia"/>
          <w:kern w:val="2"/>
        </w:rPr>
        <w:t>1.5</w:t>
      </w:r>
      <w:r>
        <w:rPr>
          <w:rFonts w:hint="eastAsia" w:cs="Times New Roman" w:asciiTheme="minorEastAsia" w:hAnsiTheme="minorEastAsia" w:eastAsiaTheme="minorEastAsia"/>
          <w:kern w:val="2"/>
        </w:rPr>
        <w:t>%。在上述标准的基础上，对合同中约定的安全文明施工费，安全施工费用使用比例不得少于安全文明施工费用的</w:t>
      </w:r>
      <w:r>
        <w:rPr>
          <w:rFonts w:hint="eastAsia" w:ascii="Times New Roman" w:hAnsi="Times New Roman" w:cs="Times New Roman" w:eastAsiaTheme="minorEastAsia"/>
          <w:kern w:val="2"/>
        </w:rPr>
        <w:t>60</w:t>
      </w:r>
      <w:r>
        <w:rPr>
          <w:rFonts w:hint="eastAsia" w:cs="Times New Roman" w:asciiTheme="minorEastAsia" w:hAnsiTheme="minorEastAsia" w:eastAsiaTheme="minorEastAsia"/>
          <w:kern w:val="2"/>
        </w:rPr>
        <w:t>%。</w:t>
      </w:r>
    </w:p>
    <w:p>
      <w:pPr>
        <w:pStyle w:val="47"/>
        <w:widowControl w:val="0"/>
        <w:spacing w:line="360" w:lineRule="auto"/>
        <w:ind w:firstLine="482" w:firstLineChars="200"/>
        <w:jc w:val="both"/>
        <w:rPr>
          <w:rFonts w:ascii="仿宋" w:hAnsi="仿宋" w:eastAsia="仿宋" w:cs="仿宋"/>
          <w:sz w:val="28"/>
          <w:szCs w:val="28"/>
        </w:rPr>
      </w:pPr>
      <w:r>
        <w:rPr>
          <w:rFonts w:hint="eastAsia" w:cs="Times New Roman" w:asciiTheme="minorEastAsia" w:hAnsiTheme="minorEastAsia" w:eastAsiaTheme="minorEastAsia"/>
          <w:b/>
          <w:kern w:val="2"/>
        </w:rPr>
        <w:t>第六条</w:t>
      </w:r>
      <w:r>
        <w:rPr>
          <w:rFonts w:hint="eastAsia" w:ascii="仿宋" w:hAnsi="仿宋" w:eastAsia="仿宋" w:cs="仿宋"/>
          <w:sz w:val="28"/>
          <w:szCs w:val="28"/>
        </w:rPr>
        <w:t xml:space="preserve"> </w:t>
      </w:r>
      <w:r>
        <w:rPr>
          <w:rFonts w:hint="eastAsia" w:cs="Times New Roman" w:asciiTheme="minorEastAsia" w:hAnsiTheme="minorEastAsia" w:eastAsiaTheme="minorEastAsia"/>
          <w:kern w:val="2"/>
        </w:rPr>
        <w:t>安全文明施工费用应做到专款专用，按规定范围使用，为安全生产提供保障。</w:t>
      </w:r>
    </w:p>
    <w:p>
      <w:pPr>
        <w:widowControl w:val="0"/>
        <w:adjustRightInd w:val="0"/>
        <w:snapToGrid w:val="0"/>
        <w:ind w:firstLine="482"/>
        <w:rPr>
          <w:rFonts w:asciiTheme="minorEastAsia" w:hAnsiTheme="minorEastAsia"/>
        </w:rPr>
      </w:pPr>
      <w:r>
        <w:rPr>
          <w:rFonts w:hint="eastAsia" w:asciiTheme="minorEastAsia" w:hAnsiTheme="minorEastAsia"/>
          <w:b/>
        </w:rPr>
        <w:t>第七条</w:t>
      </w:r>
      <w:r>
        <w:rPr>
          <w:rFonts w:hint="eastAsia" w:ascii="仿宋" w:hAnsi="仿宋" w:eastAsia="仿宋" w:cs="仿宋"/>
          <w:sz w:val="28"/>
          <w:szCs w:val="28"/>
        </w:rPr>
        <w:t xml:space="preserve"> </w:t>
      </w:r>
      <w:r>
        <w:rPr>
          <w:rFonts w:hint="eastAsia" w:asciiTheme="minorEastAsia" w:hAnsiTheme="minorEastAsia"/>
        </w:rPr>
        <w:t>工区应按照批复的安全文明施工费用使用计划执行，建立安全文明施工费用支出台账。</w:t>
      </w:r>
    </w:p>
    <w:p>
      <w:pPr>
        <w:widowControl w:val="0"/>
        <w:adjustRightInd w:val="0"/>
        <w:snapToGrid w:val="0"/>
        <w:ind w:firstLine="482"/>
        <w:rPr>
          <w:rFonts w:asciiTheme="minorEastAsia" w:hAnsiTheme="minorEastAsia"/>
        </w:rPr>
      </w:pPr>
      <w:r>
        <w:rPr>
          <w:rFonts w:hint="eastAsia" w:asciiTheme="minorEastAsia" w:hAnsiTheme="minorEastAsia"/>
          <w:b/>
        </w:rPr>
        <w:t>第八条</w:t>
      </w:r>
      <w:r>
        <w:rPr>
          <w:rFonts w:hint="eastAsia" w:asciiTheme="minorEastAsia" w:hAnsiTheme="minorEastAsia"/>
        </w:rPr>
        <w:t xml:space="preserve"> 总承包项目部负责监督安全文明施工费用使用计划的实施情况。</w:t>
      </w:r>
    </w:p>
    <w:p>
      <w:pPr>
        <w:pStyle w:val="3"/>
        <w:widowControl w:val="0"/>
      </w:pPr>
      <w:bookmarkStart w:id="50" w:name="_Toc524073745"/>
      <w:bookmarkStart w:id="51" w:name="_Toc14680"/>
      <w:r>
        <w:rPr>
          <w:rFonts w:hint="eastAsia"/>
        </w:rPr>
        <w:t>第三章</w:t>
      </w:r>
      <w:bookmarkEnd w:id="50"/>
      <w:r>
        <w:rPr>
          <w:rFonts w:hint="eastAsia"/>
        </w:rPr>
        <w:t xml:space="preserve"> </w:t>
      </w:r>
      <w:r>
        <w:t>安全文明施工费的使用范围</w:t>
      </w:r>
      <w:bookmarkEnd w:id="51"/>
    </w:p>
    <w:p>
      <w:pPr>
        <w:pStyle w:val="47"/>
        <w:widowControl w:val="0"/>
        <w:spacing w:before="312" w:beforeLines="100" w:after="156" w:afterLines="50" w:line="360" w:lineRule="auto"/>
        <w:ind w:firstLine="482" w:firstLineChars="200"/>
        <w:jc w:val="both"/>
        <w:rPr>
          <w:rFonts w:ascii="仿宋" w:hAnsi="仿宋" w:eastAsia="仿宋" w:cs="仿宋"/>
          <w:sz w:val="28"/>
          <w:szCs w:val="28"/>
        </w:rPr>
      </w:pPr>
      <w:r>
        <w:rPr>
          <w:rFonts w:hint="eastAsia" w:cs="Times New Roman" w:asciiTheme="minorEastAsia" w:hAnsiTheme="minorEastAsia" w:eastAsiaTheme="minorEastAsia"/>
          <w:b/>
          <w:kern w:val="2"/>
        </w:rPr>
        <w:t>第九条</w:t>
      </w:r>
      <w:r>
        <w:rPr>
          <w:rFonts w:hint="eastAsia" w:ascii="仿宋" w:hAnsi="仿宋" w:eastAsia="仿宋" w:cs="仿宋"/>
          <w:b/>
          <w:bCs/>
          <w:sz w:val="28"/>
          <w:szCs w:val="28"/>
        </w:rPr>
        <w:t xml:space="preserve"> </w:t>
      </w:r>
      <w:r>
        <w:rPr>
          <w:rFonts w:hint="eastAsia" w:cs="Times New Roman" w:asciiTheme="minorEastAsia" w:hAnsiTheme="minorEastAsia" w:eastAsiaTheme="minorEastAsia"/>
          <w:kern w:val="2"/>
        </w:rPr>
        <w:t>安全施工费使用范围：</w:t>
      </w:r>
    </w:p>
    <w:tbl>
      <w:tblPr>
        <w:tblStyle w:val="2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70"/>
        <w:gridCol w:w="6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rPr>
                <w:rFonts w:ascii="仿宋" w:hAnsi="仿宋"/>
              </w:rPr>
            </w:pPr>
            <w:r>
              <w:rPr>
                <w:rFonts w:ascii="仿宋" w:hAnsi="仿宋"/>
              </w:rPr>
              <w:t>序号</w:t>
            </w:r>
          </w:p>
        </w:tc>
        <w:tc>
          <w:tcPr>
            <w:tcW w:w="1570" w:type="dxa"/>
            <w:vAlign w:val="center"/>
          </w:tcPr>
          <w:p>
            <w:pPr>
              <w:widowControl w:val="0"/>
              <w:ind w:firstLine="0" w:firstLineChars="0"/>
              <w:jc w:val="center"/>
              <w:rPr>
                <w:rFonts w:ascii="仿宋" w:hAnsi="仿宋"/>
              </w:rPr>
            </w:pPr>
            <w:r>
              <w:rPr>
                <w:rFonts w:ascii="仿宋" w:hAnsi="仿宋"/>
              </w:rPr>
              <w:t>类别</w:t>
            </w:r>
          </w:p>
        </w:tc>
        <w:tc>
          <w:tcPr>
            <w:tcW w:w="6022" w:type="dxa"/>
            <w:vAlign w:val="center"/>
          </w:tcPr>
          <w:p>
            <w:pPr>
              <w:widowControl w:val="0"/>
              <w:ind w:firstLine="0" w:firstLineChars="0"/>
              <w:jc w:val="center"/>
              <w:rPr>
                <w:rFonts w:ascii="仿宋" w:hAnsi="仿宋"/>
              </w:rPr>
            </w:pPr>
            <w:r>
              <w:rPr>
                <w:rFonts w:ascii="仿宋" w:hAnsi="仿宋"/>
              </w:rPr>
              <w:t>清单细目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rPr>
                <w:rFonts w:ascii="仿宋" w:hAnsi="仿宋"/>
                <w:sz w:val="21"/>
                <w:szCs w:val="21"/>
              </w:rPr>
            </w:pPr>
            <w:r>
              <w:t>1</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设置、完善、改造和维护安全防护设施设备支出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施工现场安全防护费。安全防护设施包括：临边、临口、临水等危险部位防坠、防滑、防溺水等设施；防止物体、人员坠落而设的安全网、棚；其他与工程相关的交叉作业防护、防火、防爆、防尘、防毒、防雷、防风、防汛、防台、防地质灾害、有害气体监测、通风、临时安全防护等。</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警示、照明等灯具费。警示、照明等灯具包括：施工车辆、船舶、机械、构造物的警示灯、危险报警闪光灯、施工区域内夜间警示灯、照明灯等灯具。</w:t>
            </w:r>
          </w:p>
          <w:p>
            <w:pPr>
              <w:widowControl w:val="0"/>
              <w:spacing w:line="288" w:lineRule="auto"/>
              <w:ind w:firstLine="0" w:firstLineChars="0"/>
              <w:rPr>
                <w:rFonts w:ascii="仿宋" w:hAnsi="仿宋"/>
                <w:sz w:val="21"/>
                <w:szCs w:val="21"/>
              </w:rPr>
            </w:pPr>
            <w:r>
              <w:rPr>
                <w:rFonts w:hint="eastAsia" w:ascii="仿宋" w:hAnsi="仿宋"/>
                <w:sz w:val="21"/>
                <w:szCs w:val="21"/>
              </w:rPr>
              <w:t>③</w:t>
            </w:r>
            <w:r>
              <w:rPr>
                <w:rFonts w:ascii="仿宋" w:hAnsi="仿宋"/>
                <w:sz w:val="21"/>
                <w:szCs w:val="21"/>
              </w:rPr>
              <w:t>警示标志、标牌费。警示标志、标牌包括：各类警告、提醒、指示等。</w:t>
            </w:r>
          </w:p>
          <w:p>
            <w:pPr>
              <w:widowControl w:val="0"/>
              <w:spacing w:line="288" w:lineRule="auto"/>
              <w:ind w:firstLine="0" w:firstLineChars="0"/>
              <w:rPr>
                <w:rFonts w:ascii="仿宋" w:hAnsi="仿宋"/>
                <w:sz w:val="21"/>
                <w:szCs w:val="21"/>
              </w:rPr>
            </w:pPr>
            <w:r>
              <w:rPr>
                <w:rFonts w:hint="eastAsia" w:ascii="仿宋" w:hAnsi="仿宋"/>
                <w:sz w:val="21"/>
                <w:szCs w:val="21"/>
              </w:rPr>
              <w:t>④</w:t>
            </w:r>
            <w:r>
              <w:rPr>
                <w:rFonts w:ascii="仿宋" w:hAnsi="仿宋"/>
                <w:sz w:val="21"/>
                <w:szCs w:val="21"/>
              </w:rPr>
              <w:t>安全用电防护费。安全用电防护设施包括：各种用电专用开关、室外使用的开关、防水电箱、高压安全用具、漏电保护等设施。</w:t>
            </w:r>
          </w:p>
          <w:p>
            <w:pPr>
              <w:widowControl w:val="0"/>
              <w:spacing w:line="288" w:lineRule="auto"/>
              <w:ind w:firstLine="0" w:firstLineChars="0"/>
              <w:rPr>
                <w:rFonts w:ascii="仿宋" w:hAnsi="仿宋"/>
                <w:sz w:val="21"/>
                <w:szCs w:val="21"/>
              </w:rPr>
            </w:pPr>
            <w:r>
              <w:rPr>
                <w:rFonts w:hint="eastAsia" w:ascii="仿宋" w:hAnsi="仿宋"/>
                <w:sz w:val="21"/>
                <w:szCs w:val="21"/>
              </w:rPr>
              <w:t>⑤</w:t>
            </w:r>
            <w:r>
              <w:rPr>
                <w:rFonts w:ascii="仿宋" w:hAnsi="仿宋"/>
                <w:sz w:val="21"/>
                <w:szCs w:val="21"/>
              </w:rPr>
              <w:t>施工现场维护费。施工现场维护设施包括：改扩建工程施工围挡；施工现场高压电塔、杆维护；施工现场光缆维护等。对施工围挡有特殊要求路段的围挡费用不在此列。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7" w:hRule="atLeast"/>
          <w:jc w:val="center"/>
        </w:trPr>
        <w:tc>
          <w:tcPr>
            <w:tcW w:w="704" w:type="dxa"/>
            <w:vAlign w:val="center"/>
          </w:tcPr>
          <w:p>
            <w:pPr>
              <w:widowControl w:val="0"/>
              <w:ind w:firstLine="0" w:firstLineChars="0"/>
              <w:jc w:val="center"/>
              <w:rPr>
                <w:rFonts w:ascii="仿宋" w:hAnsi="仿宋"/>
                <w:sz w:val="21"/>
                <w:szCs w:val="21"/>
              </w:rPr>
            </w:pPr>
            <w:r>
              <w:t>2</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配备、维护、保养应急救援器材、设备支出和应急演练支出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应急救援器材与设备的配备（或租赁）、维护、保养费，这些器材及设备包括：灭火器、消防斧等小型消防器材；急救箱、急救药品、救生衣、救生圈、应急灯具、救援梯、救援绳、对讲机等小型救生器材与设备。特殊季节或特殊环境下拖轮调遣托运、警戒船只的租赁费用。救生船、消防车、救护车等大型专业救援设备所发生的相关费用不在此列。</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应急演练费。由</w:t>
            </w:r>
            <w:r>
              <w:rPr>
                <w:rFonts w:hint="eastAsia" w:ascii="仿宋" w:hAnsi="仿宋"/>
                <w:sz w:val="21"/>
                <w:szCs w:val="21"/>
              </w:rPr>
              <w:t>施工单位</w:t>
            </w:r>
            <w:r>
              <w:rPr>
                <w:rFonts w:ascii="仿宋" w:hAnsi="仿宋"/>
                <w:sz w:val="21"/>
                <w:szCs w:val="21"/>
              </w:rPr>
              <w:t>依据应急预案，模拟应对突发事件组织的应急</w:t>
            </w:r>
            <w:r>
              <w:rPr>
                <w:rFonts w:hint="eastAsia" w:ascii="仿宋" w:hAnsi="仿宋"/>
                <w:sz w:val="21"/>
                <w:szCs w:val="21"/>
              </w:rPr>
              <w:t>救援</w:t>
            </w:r>
            <w:r>
              <w:rPr>
                <w:rFonts w:ascii="仿宋" w:hAnsi="仿宋"/>
                <w:sz w:val="21"/>
                <w:szCs w:val="21"/>
              </w:rPr>
              <w:t>活动中，应由施工单位分担或由施工单位自行负责的部分或全部费用。</w:t>
            </w:r>
          </w:p>
          <w:p>
            <w:pPr>
              <w:widowControl w:val="0"/>
              <w:spacing w:line="288" w:lineRule="auto"/>
              <w:ind w:firstLine="0" w:firstLineChars="0"/>
              <w:rPr>
                <w:rFonts w:ascii="仿宋" w:hAnsi="仿宋"/>
                <w:sz w:val="21"/>
                <w:szCs w:val="21"/>
              </w:rPr>
            </w:pPr>
            <w:r>
              <w:rPr>
                <w:rFonts w:hint="eastAsia" w:ascii="仿宋" w:hAnsi="仿宋"/>
                <w:sz w:val="21"/>
                <w:szCs w:val="21"/>
              </w:rPr>
              <w:t>③</w:t>
            </w:r>
            <w:r>
              <w:rPr>
                <w:rFonts w:ascii="仿宋" w:hAnsi="仿宋"/>
                <w:sz w:val="21"/>
                <w:szCs w:val="21"/>
              </w:rPr>
              <w:t>应急队伍建设支出费用。</w:t>
            </w:r>
          </w:p>
          <w:p>
            <w:pPr>
              <w:widowControl w:val="0"/>
              <w:spacing w:line="288" w:lineRule="auto"/>
              <w:ind w:firstLine="0" w:firstLineChars="0"/>
              <w:rPr>
                <w:rFonts w:ascii="仿宋" w:hAnsi="仿宋"/>
                <w:sz w:val="21"/>
                <w:szCs w:val="21"/>
              </w:rPr>
            </w:pPr>
            <w:r>
              <w:rPr>
                <w:rFonts w:hint="eastAsia" w:ascii="仿宋" w:hAnsi="仿宋"/>
                <w:sz w:val="21"/>
                <w:szCs w:val="21"/>
              </w:rPr>
              <w:t>④</w:t>
            </w:r>
            <w:r>
              <w:rPr>
                <w:rFonts w:ascii="仿宋" w:hAnsi="仿宋"/>
                <w:sz w:val="21"/>
                <w:szCs w:val="21"/>
              </w:rPr>
              <w:t>应急宣传。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pPr>
            <w:r>
              <w:t>3</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重大风险源和安全事故隐患评估、监控和整改支出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重大风险源和事故隐患评估费。由施工单位委托专业安全评估单位对项目重大风险源、重大事故隐患进行评估所发生的相关费用。</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重大风险源监控费。对项目重大风险源进行日常监控所发生的相关费用。施工监控不在此列。</w:t>
            </w:r>
          </w:p>
          <w:p>
            <w:pPr>
              <w:widowControl w:val="0"/>
              <w:spacing w:line="288" w:lineRule="auto"/>
              <w:ind w:firstLine="0" w:firstLineChars="0"/>
              <w:rPr>
                <w:rFonts w:ascii="仿宋" w:hAnsi="仿宋"/>
                <w:sz w:val="21"/>
                <w:szCs w:val="21"/>
              </w:rPr>
            </w:pPr>
            <w:r>
              <w:rPr>
                <w:rFonts w:hint="eastAsia" w:ascii="仿宋" w:hAnsi="仿宋"/>
                <w:sz w:val="21"/>
                <w:szCs w:val="21"/>
              </w:rPr>
              <w:t>③</w:t>
            </w:r>
            <w:r>
              <w:rPr>
                <w:rFonts w:ascii="仿宋" w:hAnsi="仿宋"/>
                <w:sz w:val="21"/>
                <w:szCs w:val="21"/>
              </w:rPr>
              <w:t>重大事故隐患整改费。根据建设单位、相关行政主管部门或者专业安全评估单位出具的评估报告，对重大事故隐患进行整改所发生的相关费用。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pPr>
            <w:r>
              <w:t>4</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安全生产宣传、教育、培训支出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安全生产宣传费。包括制作安全宣传标语、条幅、图片、视频等宣传资料所发生的费用。</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安全生产教育培训费。包括施工单位对施工人员进行安全技术交底、安全操作规程培训、安全知识教育等支出的课时费；安全报纸、杂志订阅或购置费；安全知识竞赛、技能竞赛、安全专题会议等活动费用；安全经验交流、现场观摩等费用。</w:t>
            </w:r>
          </w:p>
          <w:p>
            <w:pPr>
              <w:widowControl w:val="0"/>
              <w:spacing w:line="288" w:lineRule="auto"/>
              <w:ind w:firstLine="0" w:firstLineChars="0"/>
              <w:rPr>
                <w:rFonts w:ascii="仿宋" w:hAnsi="仿宋"/>
                <w:sz w:val="21"/>
                <w:szCs w:val="21"/>
              </w:rPr>
            </w:pPr>
            <w:r>
              <w:rPr>
                <w:rFonts w:hint="eastAsia" w:ascii="仿宋" w:hAnsi="仿宋"/>
                <w:sz w:val="21"/>
                <w:szCs w:val="21"/>
              </w:rPr>
              <w:t>③</w:t>
            </w:r>
            <w:r>
              <w:rPr>
                <w:rFonts w:ascii="仿宋" w:hAnsi="仿宋"/>
                <w:sz w:val="21"/>
                <w:szCs w:val="21"/>
              </w:rPr>
              <w:t>安全教育体验场馆及体验器材费用。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pPr>
            <w:r>
              <w:t>5</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安全生产检查、评价、咨询和标准化建设支出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日常安全检查费。施工单位专职安全员日常安全巡视所发生的车辆与相关器材使用费，车辆与器材的购置费用不在此列。</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专项安全检查费。施工单位聘请专业安全机构或专家对项目安全生产过程中的特殊部位、特殊工艺、特别设备的施工安全检查所支付的相关费用。</w:t>
            </w:r>
          </w:p>
          <w:p>
            <w:pPr>
              <w:widowControl w:val="0"/>
              <w:spacing w:line="288" w:lineRule="auto"/>
              <w:ind w:firstLine="0" w:firstLineChars="0"/>
              <w:rPr>
                <w:rFonts w:ascii="仿宋" w:hAnsi="仿宋"/>
                <w:sz w:val="21"/>
                <w:szCs w:val="21"/>
              </w:rPr>
            </w:pPr>
            <w:r>
              <w:rPr>
                <w:rFonts w:hint="eastAsia" w:ascii="仿宋" w:hAnsi="仿宋"/>
                <w:sz w:val="21"/>
                <w:szCs w:val="21"/>
              </w:rPr>
              <w:t>③</w:t>
            </w:r>
            <w:r>
              <w:rPr>
                <w:rFonts w:ascii="仿宋" w:hAnsi="仿宋"/>
                <w:sz w:val="21"/>
                <w:szCs w:val="21"/>
              </w:rPr>
              <w:t>安全生产评价费。施工单位聘请专业安全机构或专家对项目专项施工方案、风险评估进行讨论、论证、评估、评价所支付的相关费用，不包括新建、改造扩建项目安全评价。</w:t>
            </w:r>
          </w:p>
          <w:p>
            <w:pPr>
              <w:widowControl w:val="0"/>
              <w:spacing w:line="288" w:lineRule="auto"/>
              <w:ind w:firstLine="0" w:firstLineChars="0"/>
              <w:rPr>
                <w:rFonts w:ascii="仿宋" w:hAnsi="仿宋"/>
                <w:sz w:val="21"/>
                <w:szCs w:val="21"/>
              </w:rPr>
            </w:pPr>
            <w:r>
              <w:rPr>
                <w:rFonts w:hint="eastAsia" w:ascii="仿宋" w:hAnsi="仿宋"/>
                <w:sz w:val="21"/>
                <w:szCs w:val="21"/>
              </w:rPr>
              <w:t>④</w:t>
            </w:r>
            <w:r>
              <w:rPr>
                <w:rFonts w:ascii="仿宋" w:hAnsi="仿宋"/>
                <w:sz w:val="21"/>
                <w:szCs w:val="21"/>
              </w:rPr>
              <w:t>安全生产咨询、风险评估费。施工单位就安全生产工作中存在的问题向相关专业安全机构、咨询单位或专家进行咨询所支付的相关费用。按规定开展施工安全风险评估管理费用。</w:t>
            </w:r>
          </w:p>
          <w:p>
            <w:pPr>
              <w:widowControl w:val="0"/>
              <w:spacing w:line="288" w:lineRule="auto"/>
              <w:ind w:firstLine="0" w:firstLineChars="0"/>
              <w:rPr>
                <w:rFonts w:ascii="仿宋" w:hAnsi="仿宋"/>
                <w:sz w:val="21"/>
                <w:szCs w:val="21"/>
              </w:rPr>
            </w:pPr>
            <w:r>
              <w:rPr>
                <w:rFonts w:hint="eastAsia" w:ascii="仿宋" w:hAnsi="仿宋"/>
                <w:sz w:val="21"/>
                <w:szCs w:val="21"/>
              </w:rPr>
              <w:t>⑤</w:t>
            </w:r>
            <w:r>
              <w:rPr>
                <w:rFonts w:ascii="仿宋" w:hAnsi="仿宋"/>
                <w:sz w:val="21"/>
                <w:szCs w:val="21"/>
              </w:rPr>
              <w:t>安全生产标准化建设费。施工单位按照有关规定或者合同约定开展安全生产方面的标准化建设费用。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pPr>
            <w:r>
              <w:t>6</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配备和更新现场作业人员安全防护用品支出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安全防护用品配备费。施工单位根据有关规定在日常施工中必须配备的安全帽、安全绳（带）、手套、雨鞋、工作服、口罩、防毒面具、防护药膏等安全防护用品的购置费用。</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安全防护物品更新费。施工单位对安全防护物品的正常损耗进行必要补充所产生的费用。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pPr>
            <w:r>
              <w:t>7</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安全生产适用的新技术、新标准、新工艺、新装备的推广应用支出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增设安全风险控制监控系统所发生的相关费用，如</w:t>
            </w:r>
            <w:r>
              <w:rPr>
                <w:rFonts w:ascii="仿宋" w:hAnsi="仿宋"/>
                <w:sz w:val="21"/>
                <w:szCs w:val="21"/>
              </w:rPr>
              <w:t>增设隧道门禁系统，隧道内风险控制监控系统，桥梁及深基坑作业面远程监控系统等所发生的相关费用。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pPr>
            <w:r>
              <w:t>8</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安全设施及特种设备检测检验支出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安全设施检测检验费。施工单位对拟投入本项目的安全设施送交或邀请具有相关资质的检测检验机构进行检测检验，并出具相关报告所发生的费用。</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特种设备检测检验。施工单位根据有关规定对拟投入本项目的特种设备邀请具有相关资质的检测检验机构进行检测检验，并出具相关报告所发生的费用。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704" w:type="dxa"/>
            <w:vAlign w:val="center"/>
          </w:tcPr>
          <w:p>
            <w:pPr>
              <w:widowControl w:val="0"/>
              <w:ind w:firstLine="0" w:firstLineChars="0"/>
              <w:jc w:val="center"/>
              <w:rPr>
                <w:rFonts w:ascii="仿宋" w:hAnsi="仿宋"/>
                <w:sz w:val="21"/>
                <w:szCs w:val="21"/>
              </w:rPr>
            </w:pPr>
            <w:r>
              <w:t>9</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其他与安全生产直接相关的支出</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办公用品费。专职安全员办公用计算机、照相器材等办公必</w:t>
            </w:r>
            <w:r>
              <w:rPr>
                <w:rFonts w:hint="eastAsia" w:ascii="仿宋" w:hAnsi="仿宋"/>
                <w:sz w:val="21"/>
                <w:szCs w:val="21"/>
                <w:lang w:val="en-US" w:eastAsia="zh-CN"/>
              </w:rPr>
              <w:t>需</w:t>
            </w:r>
            <w:r>
              <w:rPr>
                <w:rFonts w:ascii="仿宋" w:hAnsi="仿宋"/>
                <w:sz w:val="21"/>
                <w:szCs w:val="21"/>
              </w:rPr>
              <w:t>的设施配备费用。</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雇工费。保障施工安全，对施工现场进出口部位进行交通管制而雇佣交通协管人员看护所支出的人工费用。</w:t>
            </w:r>
          </w:p>
          <w:p>
            <w:pPr>
              <w:widowControl w:val="0"/>
              <w:spacing w:line="288" w:lineRule="auto"/>
              <w:ind w:firstLine="0" w:firstLineChars="0"/>
              <w:rPr>
                <w:rFonts w:ascii="仿宋" w:hAnsi="仿宋"/>
                <w:sz w:val="21"/>
                <w:szCs w:val="21"/>
              </w:rPr>
            </w:pPr>
            <w:r>
              <w:rPr>
                <w:rFonts w:hint="eastAsia" w:ascii="仿宋" w:hAnsi="仿宋"/>
                <w:sz w:val="21"/>
                <w:szCs w:val="21"/>
              </w:rPr>
              <w:t>③</w:t>
            </w:r>
            <w:r>
              <w:rPr>
                <w:rFonts w:ascii="仿宋" w:hAnsi="仿宋"/>
                <w:sz w:val="21"/>
                <w:szCs w:val="21"/>
              </w:rPr>
              <w:t>安全管理人员及聘用注册安全工程师工资。</w:t>
            </w:r>
          </w:p>
          <w:p>
            <w:pPr>
              <w:widowControl w:val="0"/>
              <w:spacing w:line="288" w:lineRule="auto"/>
              <w:ind w:firstLine="0" w:firstLineChars="0"/>
              <w:rPr>
                <w:rFonts w:ascii="仿宋" w:hAnsi="仿宋"/>
                <w:sz w:val="21"/>
                <w:szCs w:val="21"/>
              </w:rPr>
            </w:pPr>
            <w:r>
              <w:rPr>
                <w:rFonts w:hint="eastAsia" w:ascii="仿宋" w:hAnsi="仿宋"/>
                <w:sz w:val="21"/>
                <w:szCs w:val="21"/>
              </w:rPr>
              <w:t>④</w:t>
            </w:r>
            <w:r>
              <w:rPr>
                <w:rFonts w:ascii="仿宋" w:hAnsi="仿宋"/>
                <w:sz w:val="21"/>
                <w:szCs w:val="21"/>
              </w:rPr>
              <w:t>职业健康安全培训教育。</w:t>
            </w:r>
          </w:p>
          <w:p>
            <w:pPr>
              <w:widowControl w:val="0"/>
              <w:spacing w:line="288" w:lineRule="auto"/>
              <w:ind w:firstLine="0" w:firstLineChars="0"/>
              <w:rPr>
                <w:rFonts w:ascii="仿宋" w:hAnsi="仿宋"/>
                <w:sz w:val="21"/>
                <w:szCs w:val="21"/>
              </w:rPr>
            </w:pPr>
            <w:r>
              <w:rPr>
                <w:rFonts w:hint="eastAsia" w:ascii="仿宋" w:hAnsi="仿宋"/>
                <w:sz w:val="21"/>
                <w:szCs w:val="21"/>
              </w:rPr>
              <w:t>⑤</w:t>
            </w:r>
            <w:r>
              <w:rPr>
                <w:rFonts w:ascii="仿宋" w:hAnsi="仿宋"/>
                <w:sz w:val="21"/>
                <w:szCs w:val="21"/>
              </w:rPr>
              <w:t>职业健康安全管理改进设施费用。</w:t>
            </w:r>
          </w:p>
          <w:p>
            <w:pPr>
              <w:widowControl w:val="0"/>
              <w:spacing w:line="288" w:lineRule="auto"/>
              <w:ind w:firstLine="0" w:firstLineChars="0"/>
              <w:rPr>
                <w:rFonts w:ascii="仿宋" w:hAnsi="仿宋"/>
                <w:sz w:val="21"/>
                <w:szCs w:val="21"/>
              </w:rPr>
            </w:pPr>
            <w:r>
              <w:rPr>
                <w:rFonts w:hint="eastAsia" w:ascii="仿宋" w:hAnsi="仿宋"/>
                <w:sz w:val="21"/>
                <w:szCs w:val="21"/>
              </w:rPr>
              <w:t>⑥</w:t>
            </w:r>
            <w:r>
              <w:rPr>
                <w:rFonts w:ascii="仿宋" w:hAnsi="仿宋"/>
                <w:sz w:val="21"/>
                <w:szCs w:val="21"/>
              </w:rPr>
              <w:t>聘用相关服务机构所需费用。</w:t>
            </w:r>
          </w:p>
        </w:tc>
      </w:tr>
    </w:tbl>
    <w:p>
      <w:pPr>
        <w:pStyle w:val="47"/>
        <w:widowControl w:val="0"/>
        <w:spacing w:before="312" w:beforeLines="100" w:after="156" w:afterLines="50" w:line="360" w:lineRule="auto"/>
        <w:ind w:firstLine="482" w:firstLineChars="200"/>
        <w:jc w:val="both"/>
        <w:rPr>
          <w:rFonts w:ascii="仿宋" w:hAnsi="仿宋" w:eastAsia="仿宋" w:cs="仿宋"/>
          <w:sz w:val="28"/>
          <w:szCs w:val="28"/>
        </w:rPr>
      </w:pPr>
      <w:r>
        <w:rPr>
          <w:rFonts w:hint="eastAsia" w:cs="Times New Roman" w:asciiTheme="minorEastAsia" w:hAnsiTheme="minorEastAsia" w:eastAsiaTheme="minorEastAsia"/>
          <w:b/>
          <w:kern w:val="2"/>
        </w:rPr>
        <w:t>第十条</w:t>
      </w:r>
      <w:r>
        <w:rPr>
          <w:rFonts w:hint="eastAsia" w:ascii="仿宋" w:hAnsi="仿宋" w:eastAsia="仿宋" w:cs="仿宋"/>
          <w:b/>
          <w:bCs/>
          <w:sz w:val="28"/>
          <w:szCs w:val="28"/>
        </w:rPr>
        <w:t xml:space="preserve"> </w:t>
      </w:r>
      <w:r>
        <w:rPr>
          <w:rFonts w:hint="eastAsia" w:cs="Times New Roman" w:asciiTheme="minorEastAsia" w:hAnsiTheme="minorEastAsia" w:eastAsiaTheme="minorEastAsia"/>
          <w:kern w:val="2"/>
        </w:rPr>
        <w:t>文明施工费使用范围：</w:t>
      </w:r>
    </w:p>
    <w:tbl>
      <w:tblPr>
        <w:tblStyle w:val="2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70"/>
        <w:gridCol w:w="6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rPr>
                <w:rFonts w:ascii="仿宋" w:hAnsi="仿宋"/>
              </w:rPr>
            </w:pPr>
            <w:r>
              <w:rPr>
                <w:rFonts w:ascii="仿宋" w:hAnsi="仿宋"/>
              </w:rPr>
              <w:t>序号</w:t>
            </w:r>
          </w:p>
        </w:tc>
        <w:tc>
          <w:tcPr>
            <w:tcW w:w="1570" w:type="dxa"/>
            <w:vAlign w:val="center"/>
          </w:tcPr>
          <w:p>
            <w:pPr>
              <w:widowControl w:val="0"/>
              <w:ind w:firstLine="0" w:firstLineChars="0"/>
              <w:jc w:val="center"/>
              <w:rPr>
                <w:rFonts w:ascii="仿宋" w:hAnsi="仿宋"/>
              </w:rPr>
            </w:pPr>
            <w:r>
              <w:rPr>
                <w:rFonts w:ascii="仿宋" w:hAnsi="仿宋"/>
              </w:rPr>
              <w:t>类别</w:t>
            </w:r>
          </w:p>
        </w:tc>
        <w:tc>
          <w:tcPr>
            <w:tcW w:w="6022" w:type="dxa"/>
            <w:vAlign w:val="center"/>
          </w:tcPr>
          <w:p>
            <w:pPr>
              <w:widowControl w:val="0"/>
              <w:ind w:firstLine="0" w:firstLineChars="0"/>
              <w:jc w:val="center"/>
              <w:rPr>
                <w:rFonts w:ascii="仿宋" w:hAnsi="仿宋"/>
              </w:rPr>
            </w:pPr>
            <w:r>
              <w:rPr>
                <w:rFonts w:ascii="仿宋" w:hAnsi="仿宋"/>
              </w:rPr>
              <w:t>清单细目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rPr>
                <w:rFonts w:ascii="仿宋" w:hAnsi="仿宋"/>
              </w:rPr>
            </w:pPr>
            <w:r>
              <w:t>1</w:t>
            </w:r>
          </w:p>
        </w:tc>
        <w:tc>
          <w:tcPr>
            <w:tcW w:w="1570" w:type="dxa"/>
            <w:vAlign w:val="center"/>
          </w:tcPr>
          <w:p>
            <w:pPr>
              <w:widowControl w:val="0"/>
              <w:spacing w:line="288" w:lineRule="auto"/>
              <w:ind w:firstLine="0" w:firstLineChars="0"/>
              <w:jc w:val="center"/>
              <w:rPr>
                <w:rFonts w:ascii="仿宋" w:hAnsi="仿宋"/>
              </w:rPr>
            </w:pPr>
            <w:r>
              <w:rPr>
                <w:rFonts w:ascii="仿宋" w:hAnsi="仿宋"/>
                <w:sz w:val="21"/>
                <w:szCs w:val="21"/>
              </w:rPr>
              <w:t>标牌设置</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八牌两图（在进门处悬挂工程概况、管理人员名单及监督电话、安全生产、文明施工、消防保卫、施工现场总平面图等）。</w:t>
            </w:r>
          </w:p>
          <w:p>
            <w:pPr>
              <w:widowControl w:val="0"/>
              <w:spacing w:line="288" w:lineRule="auto"/>
              <w:ind w:firstLine="0" w:firstLineChars="0"/>
              <w:rPr>
                <w:rFonts w:ascii="仿宋" w:hAnsi="仿宋"/>
              </w:rPr>
            </w:pPr>
            <w:r>
              <w:rPr>
                <w:rFonts w:hint="eastAsia" w:ascii="仿宋" w:hAnsi="仿宋"/>
                <w:sz w:val="21"/>
                <w:szCs w:val="21"/>
              </w:rPr>
              <w:t>②</w:t>
            </w:r>
            <w:r>
              <w:rPr>
                <w:rFonts w:ascii="仿宋" w:hAnsi="仿宋"/>
                <w:sz w:val="21"/>
                <w:szCs w:val="21"/>
              </w:rPr>
              <w:t>企业标志标牌、进出场地人员显示牌等。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2" w:hRule="atLeast"/>
          <w:jc w:val="center"/>
        </w:trPr>
        <w:tc>
          <w:tcPr>
            <w:tcW w:w="704" w:type="dxa"/>
            <w:vAlign w:val="center"/>
          </w:tcPr>
          <w:p>
            <w:pPr>
              <w:widowControl w:val="0"/>
              <w:ind w:firstLine="0" w:firstLineChars="0"/>
              <w:jc w:val="center"/>
              <w:rPr>
                <w:rFonts w:ascii="仿宋" w:hAnsi="仿宋"/>
              </w:rPr>
            </w:pPr>
            <w:r>
              <w:t>2</w:t>
            </w:r>
          </w:p>
        </w:tc>
        <w:tc>
          <w:tcPr>
            <w:tcW w:w="1570" w:type="dxa"/>
            <w:vAlign w:val="center"/>
          </w:tcPr>
          <w:p>
            <w:pPr>
              <w:widowControl w:val="0"/>
              <w:spacing w:line="288" w:lineRule="auto"/>
              <w:ind w:firstLine="0" w:firstLineChars="0"/>
              <w:jc w:val="center"/>
              <w:rPr>
                <w:rFonts w:ascii="仿宋" w:hAnsi="仿宋"/>
              </w:rPr>
            </w:pPr>
            <w:r>
              <w:rPr>
                <w:rFonts w:ascii="仿宋" w:hAnsi="仿宋"/>
                <w:sz w:val="21"/>
                <w:szCs w:val="21"/>
              </w:rPr>
              <w:t>场容场貌</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排水沟、排水设施</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工地地面硬化处理</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③</w:t>
            </w:r>
            <w:r>
              <w:rPr>
                <w:rFonts w:ascii="仿宋" w:hAnsi="仿宋"/>
                <w:sz w:val="21"/>
                <w:szCs w:val="21"/>
              </w:rPr>
              <w:t>绿化</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④</w:t>
            </w:r>
            <w:r>
              <w:rPr>
                <w:rFonts w:ascii="仿宋" w:hAnsi="仿宋"/>
                <w:sz w:val="21"/>
                <w:szCs w:val="21"/>
              </w:rPr>
              <w:t>围护设施</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⑤</w:t>
            </w:r>
            <w:r>
              <w:rPr>
                <w:rFonts w:ascii="仿宋" w:hAnsi="仿宋"/>
                <w:sz w:val="21"/>
                <w:szCs w:val="21"/>
              </w:rPr>
              <w:t>安全保卫设施</w:t>
            </w:r>
            <w:r>
              <w:rPr>
                <w:rFonts w:hint="eastAsia" w:ascii="仿宋" w:hAnsi="仿宋"/>
                <w:sz w:val="21"/>
                <w:szCs w:val="21"/>
              </w:rPr>
              <w:t>。</w:t>
            </w:r>
          </w:p>
          <w:p>
            <w:pPr>
              <w:widowControl w:val="0"/>
              <w:spacing w:line="288" w:lineRule="auto"/>
              <w:ind w:firstLine="0" w:firstLineChars="0"/>
              <w:rPr>
                <w:rFonts w:ascii="仿宋" w:hAnsi="仿宋"/>
              </w:rPr>
            </w:pPr>
            <w:r>
              <w:rPr>
                <w:rFonts w:hint="eastAsia" w:ascii="仿宋" w:hAnsi="仿宋"/>
                <w:sz w:val="21"/>
                <w:szCs w:val="21"/>
              </w:rPr>
              <w:t>⑥</w:t>
            </w:r>
            <w:r>
              <w:rPr>
                <w:rFonts w:ascii="仿宋" w:hAnsi="仿宋"/>
                <w:sz w:val="21"/>
                <w:szCs w:val="21"/>
              </w:rPr>
              <w:t>场容整洁等。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704" w:type="dxa"/>
            <w:vAlign w:val="center"/>
          </w:tcPr>
          <w:p>
            <w:pPr>
              <w:widowControl w:val="0"/>
              <w:ind w:firstLine="0" w:firstLineChars="0"/>
              <w:jc w:val="center"/>
              <w:rPr>
                <w:rFonts w:ascii="仿宋" w:hAnsi="仿宋"/>
              </w:rPr>
            </w:pPr>
            <w:r>
              <w:t>3</w:t>
            </w:r>
          </w:p>
        </w:tc>
        <w:tc>
          <w:tcPr>
            <w:tcW w:w="1570" w:type="dxa"/>
            <w:vAlign w:val="center"/>
          </w:tcPr>
          <w:p>
            <w:pPr>
              <w:widowControl w:val="0"/>
              <w:ind w:firstLine="0" w:firstLineChars="0"/>
              <w:jc w:val="left"/>
              <w:rPr>
                <w:rFonts w:ascii="仿宋" w:hAnsi="仿宋"/>
              </w:rPr>
            </w:pPr>
            <w:r>
              <w:rPr>
                <w:rFonts w:ascii="仿宋" w:hAnsi="仿宋"/>
                <w:sz w:val="21"/>
                <w:szCs w:val="21"/>
              </w:rPr>
              <w:t>材料</w:t>
            </w:r>
            <w:r>
              <w:rPr>
                <w:rFonts w:hint="eastAsia" w:ascii="仿宋" w:hAnsi="仿宋"/>
                <w:sz w:val="21"/>
                <w:szCs w:val="21"/>
              </w:rPr>
              <w:t>、</w:t>
            </w:r>
            <w:r>
              <w:rPr>
                <w:rFonts w:ascii="仿宋" w:hAnsi="仿宋"/>
                <w:sz w:val="21"/>
                <w:szCs w:val="21"/>
              </w:rPr>
              <w:t>设备堆放</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悬挂有名称、品种、规格等标牌</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水泥和其他易飞扬细颗粒建筑材料应密闭存放或采取覆盖等措施</w:t>
            </w:r>
            <w:r>
              <w:rPr>
                <w:rFonts w:hint="eastAsia" w:ascii="仿宋" w:hAnsi="仿宋"/>
                <w:sz w:val="21"/>
                <w:szCs w:val="21"/>
              </w:rPr>
              <w:t>。</w:t>
            </w:r>
          </w:p>
          <w:p>
            <w:pPr>
              <w:widowControl w:val="0"/>
              <w:spacing w:line="288" w:lineRule="auto"/>
              <w:ind w:firstLine="0" w:firstLineChars="0"/>
              <w:rPr>
                <w:rFonts w:ascii="仿宋" w:hAnsi="仿宋"/>
              </w:rPr>
            </w:pPr>
            <w:r>
              <w:rPr>
                <w:rFonts w:hint="eastAsia" w:ascii="仿宋" w:hAnsi="仿宋"/>
                <w:sz w:val="21"/>
                <w:szCs w:val="21"/>
              </w:rPr>
              <w:t>③</w:t>
            </w:r>
            <w:r>
              <w:rPr>
                <w:rFonts w:ascii="仿宋" w:hAnsi="仿宋"/>
                <w:sz w:val="21"/>
                <w:szCs w:val="21"/>
              </w:rPr>
              <w:t>易燃、易爆和有毒有害物品分类存放等措施。</w:t>
            </w:r>
          </w:p>
        </w:tc>
      </w:tr>
    </w:tbl>
    <w:p>
      <w:pPr>
        <w:pStyle w:val="47"/>
        <w:widowControl w:val="0"/>
        <w:spacing w:before="312" w:beforeLines="100" w:after="156" w:afterLines="50" w:line="360" w:lineRule="auto"/>
        <w:ind w:firstLine="482" w:firstLineChars="200"/>
        <w:jc w:val="both"/>
        <w:rPr>
          <w:rFonts w:ascii="仿宋" w:hAnsi="仿宋" w:eastAsia="仿宋" w:cs="仿宋"/>
          <w:sz w:val="28"/>
          <w:szCs w:val="28"/>
        </w:rPr>
      </w:pPr>
      <w:r>
        <w:rPr>
          <w:rFonts w:hint="eastAsia" w:cs="Times New Roman" w:asciiTheme="minorEastAsia" w:hAnsiTheme="minorEastAsia" w:eastAsiaTheme="minorEastAsia"/>
          <w:b/>
          <w:kern w:val="2"/>
        </w:rPr>
        <w:t>第十一条</w:t>
      </w:r>
      <w:r>
        <w:rPr>
          <w:rFonts w:hint="eastAsia" w:ascii="仿宋" w:hAnsi="仿宋" w:eastAsia="仿宋" w:cs="仿宋"/>
          <w:b/>
          <w:bCs/>
          <w:sz w:val="28"/>
          <w:szCs w:val="28"/>
        </w:rPr>
        <w:t xml:space="preserve"> </w:t>
      </w:r>
      <w:r>
        <w:rPr>
          <w:rFonts w:hint="eastAsia" w:cs="Times New Roman" w:asciiTheme="minorEastAsia" w:hAnsiTheme="minorEastAsia" w:eastAsiaTheme="minorEastAsia"/>
          <w:kern w:val="2"/>
        </w:rPr>
        <w:t>环境保护费使用范围：</w:t>
      </w:r>
    </w:p>
    <w:tbl>
      <w:tblPr>
        <w:tblStyle w:val="2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66"/>
        <w:gridCol w:w="6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rPr>
                <w:rFonts w:ascii="仿宋" w:hAnsi="仿宋"/>
              </w:rPr>
            </w:pPr>
            <w:r>
              <w:rPr>
                <w:rFonts w:ascii="仿宋" w:hAnsi="仿宋"/>
              </w:rPr>
              <w:t>序号</w:t>
            </w:r>
          </w:p>
        </w:tc>
        <w:tc>
          <w:tcPr>
            <w:tcW w:w="1566" w:type="dxa"/>
            <w:vAlign w:val="center"/>
          </w:tcPr>
          <w:p>
            <w:pPr>
              <w:widowControl w:val="0"/>
              <w:ind w:firstLine="0" w:firstLineChars="0"/>
              <w:jc w:val="center"/>
              <w:rPr>
                <w:rFonts w:ascii="仿宋" w:hAnsi="仿宋"/>
              </w:rPr>
            </w:pPr>
            <w:r>
              <w:rPr>
                <w:rFonts w:ascii="仿宋" w:hAnsi="仿宋"/>
              </w:rPr>
              <w:t>类别</w:t>
            </w:r>
          </w:p>
        </w:tc>
        <w:tc>
          <w:tcPr>
            <w:tcW w:w="6026" w:type="dxa"/>
            <w:vAlign w:val="center"/>
          </w:tcPr>
          <w:p>
            <w:pPr>
              <w:widowControl w:val="0"/>
              <w:ind w:firstLine="0" w:firstLineChars="0"/>
              <w:jc w:val="center"/>
              <w:rPr>
                <w:rFonts w:ascii="仿宋" w:hAnsi="仿宋"/>
              </w:rPr>
            </w:pPr>
            <w:r>
              <w:rPr>
                <w:rFonts w:ascii="仿宋" w:hAnsi="仿宋"/>
              </w:rPr>
              <w:t>清单细目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pPr>
            <w:r>
              <w:t>1</w:t>
            </w:r>
          </w:p>
        </w:tc>
        <w:tc>
          <w:tcPr>
            <w:tcW w:w="1566" w:type="dxa"/>
            <w:vAlign w:val="center"/>
          </w:tcPr>
          <w:p>
            <w:pPr>
              <w:widowControl w:val="0"/>
              <w:spacing w:line="288" w:lineRule="auto"/>
              <w:ind w:firstLine="0" w:firstLineChars="0"/>
              <w:jc w:val="center"/>
              <w:rPr>
                <w:rFonts w:ascii="仿宋" w:hAnsi="仿宋"/>
                <w:sz w:val="21"/>
                <w:szCs w:val="21"/>
              </w:rPr>
            </w:pPr>
            <w:r>
              <w:rPr>
                <w:rFonts w:ascii="仿宋" w:hAnsi="仿宋"/>
                <w:sz w:val="21"/>
                <w:szCs w:val="21"/>
              </w:rPr>
              <w:t>垃圾清运</w:t>
            </w:r>
          </w:p>
        </w:tc>
        <w:tc>
          <w:tcPr>
            <w:tcW w:w="6026"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施工垃圾、生活垃圾清运的人员费、车辆租赁费及填埋费用。</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清扫垃圾的设施、设备费用等。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704" w:type="dxa"/>
            <w:vAlign w:val="center"/>
          </w:tcPr>
          <w:p>
            <w:pPr>
              <w:widowControl w:val="0"/>
              <w:ind w:firstLine="0" w:firstLineChars="0"/>
              <w:jc w:val="center"/>
            </w:pPr>
            <w:r>
              <w:t>2</w:t>
            </w:r>
          </w:p>
        </w:tc>
        <w:tc>
          <w:tcPr>
            <w:tcW w:w="1566" w:type="dxa"/>
            <w:vAlign w:val="center"/>
          </w:tcPr>
          <w:p>
            <w:pPr>
              <w:widowControl w:val="0"/>
              <w:spacing w:line="288" w:lineRule="auto"/>
              <w:ind w:firstLine="0" w:firstLineChars="0"/>
              <w:jc w:val="center"/>
              <w:rPr>
                <w:rFonts w:ascii="仿宋" w:hAnsi="仿宋"/>
                <w:sz w:val="21"/>
                <w:szCs w:val="21"/>
              </w:rPr>
            </w:pPr>
            <w:r>
              <w:rPr>
                <w:rFonts w:ascii="仿宋" w:hAnsi="仿宋"/>
                <w:sz w:val="21"/>
                <w:szCs w:val="21"/>
              </w:rPr>
              <w:t>污水处理</w:t>
            </w:r>
          </w:p>
        </w:tc>
        <w:tc>
          <w:tcPr>
            <w:tcW w:w="6026"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污水净化设施、设备费用</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污水处理材料费等。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704" w:type="dxa"/>
            <w:vAlign w:val="center"/>
          </w:tcPr>
          <w:p>
            <w:pPr>
              <w:widowControl w:val="0"/>
              <w:ind w:firstLine="0" w:firstLineChars="0"/>
              <w:jc w:val="center"/>
            </w:pPr>
            <w:r>
              <w:t>3</w:t>
            </w:r>
          </w:p>
        </w:tc>
        <w:tc>
          <w:tcPr>
            <w:tcW w:w="1566" w:type="dxa"/>
            <w:vAlign w:val="center"/>
          </w:tcPr>
          <w:p>
            <w:pPr>
              <w:widowControl w:val="0"/>
              <w:spacing w:line="288" w:lineRule="auto"/>
              <w:ind w:firstLine="0" w:firstLineChars="0"/>
              <w:jc w:val="center"/>
              <w:rPr>
                <w:rFonts w:ascii="仿宋" w:hAnsi="仿宋"/>
                <w:sz w:val="21"/>
                <w:szCs w:val="21"/>
              </w:rPr>
            </w:pPr>
            <w:r>
              <w:rPr>
                <w:rFonts w:ascii="仿宋" w:hAnsi="仿宋"/>
                <w:sz w:val="21"/>
                <w:szCs w:val="21"/>
              </w:rPr>
              <w:t>降尘降噪</w:t>
            </w:r>
          </w:p>
        </w:tc>
        <w:tc>
          <w:tcPr>
            <w:tcW w:w="6026"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冲洗设备、设施费用</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环境检测仪器及维修费用</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③</w:t>
            </w:r>
            <w:r>
              <w:rPr>
                <w:rFonts w:ascii="仿宋" w:hAnsi="仿宋"/>
                <w:sz w:val="21"/>
                <w:szCs w:val="21"/>
              </w:rPr>
              <w:t>降尘降噪设备及维修费。</w:t>
            </w:r>
          </w:p>
        </w:tc>
      </w:tr>
    </w:tbl>
    <w:p>
      <w:pPr>
        <w:pStyle w:val="47"/>
        <w:widowControl w:val="0"/>
        <w:spacing w:before="312" w:beforeLines="100" w:after="156" w:afterLines="50" w:line="360" w:lineRule="auto"/>
        <w:ind w:firstLine="482" w:firstLineChars="200"/>
        <w:jc w:val="both"/>
        <w:rPr>
          <w:rFonts w:ascii="仿宋" w:hAnsi="仿宋" w:eastAsia="仿宋" w:cs="仿宋"/>
          <w:sz w:val="28"/>
          <w:szCs w:val="28"/>
        </w:rPr>
      </w:pPr>
      <w:r>
        <w:rPr>
          <w:rFonts w:hint="eastAsia" w:cs="Times New Roman" w:asciiTheme="minorEastAsia" w:hAnsiTheme="minorEastAsia" w:eastAsiaTheme="minorEastAsia"/>
          <w:b/>
          <w:kern w:val="2"/>
        </w:rPr>
        <w:t>第十二条</w:t>
      </w:r>
      <w:r>
        <w:rPr>
          <w:rFonts w:hint="eastAsia" w:ascii="仿宋" w:hAnsi="仿宋" w:eastAsia="仿宋" w:cs="仿宋"/>
          <w:b/>
          <w:bCs/>
          <w:sz w:val="28"/>
          <w:szCs w:val="28"/>
        </w:rPr>
        <w:t xml:space="preserve"> </w:t>
      </w:r>
      <w:r>
        <w:rPr>
          <w:rFonts w:hint="eastAsia" w:cs="Times New Roman" w:asciiTheme="minorEastAsia" w:hAnsiTheme="minorEastAsia" w:eastAsiaTheme="minorEastAsia"/>
          <w:kern w:val="2"/>
        </w:rPr>
        <w:t>临时设施费使用范围：</w:t>
      </w:r>
    </w:p>
    <w:tbl>
      <w:tblPr>
        <w:tblStyle w:val="2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70"/>
        <w:gridCol w:w="6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rPr>
                <w:rFonts w:ascii="仿宋" w:hAnsi="仿宋"/>
              </w:rPr>
            </w:pPr>
            <w:r>
              <w:rPr>
                <w:rFonts w:ascii="仿宋" w:hAnsi="仿宋"/>
              </w:rPr>
              <w:t>序号</w:t>
            </w:r>
          </w:p>
        </w:tc>
        <w:tc>
          <w:tcPr>
            <w:tcW w:w="1570" w:type="dxa"/>
            <w:vAlign w:val="center"/>
          </w:tcPr>
          <w:p>
            <w:pPr>
              <w:widowControl w:val="0"/>
              <w:ind w:firstLine="0" w:firstLineChars="0"/>
              <w:jc w:val="center"/>
              <w:rPr>
                <w:rFonts w:ascii="仿宋" w:hAnsi="仿宋"/>
              </w:rPr>
            </w:pPr>
            <w:r>
              <w:rPr>
                <w:rFonts w:ascii="仿宋" w:hAnsi="仿宋"/>
              </w:rPr>
              <w:t>类别</w:t>
            </w:r>
          </w:p>
        </w:tc>
        <w:tc>
          <w:tcPr>
            <w:tcW w:w="6022" w:type="dxa"/>
            <w:vAlign w:val="center"/>
          </w:tcPr>
          <w:p>
            <w:pPr>
              <w:widowControl w:val="0"/>
              <w:ind w:firstLine="0" w:firstLineChars="0"/>
              <w:jc w:val="center"/>
              <w:rPr>
                <w:rFonts w:ascii="仿宋" w:hAnsi="仿宋"/>
              </w:rPr>
            </w:pPr>
            <w:r>
              <w:rPr>
                <w:rFonts w:ascii="仿宋" w:hAnsi="仿宋"/>
              </w:rPr>
              <w:t>清单细目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vAlign w:val="center"/>
          </w:tcPr>
          <w:p>
            <w:pPr>
              <w:widowControl w:val="0"/>
              <w:ind w:firstLine="0" w:firstLineChars="0"/>
              <w:jc w:val="center"/>
            </w:pPr>
            <w:r>
              <w:t>1</w:t>
            </w:r>
          </w:p>
        </w:tc>
        <w:tc>
          <w:tcPr>
            <w:tcW w:w="1570" w:type="dxa"/>
            <w:vAlign w:val="center"/>
          </w:tcPr>
          <w:p>
            <w:pPr>
              <w:widowControl w:val="0"/>
              <w:spacing w:line="288" w:lineRule="auto"/>
              <w:ind w:firstLine="0" w:firstLineChars="0"/>
              <w:rPr>
                <w:rFonts w:ascii="仿宋" w:hAnsi="仿宋"/>
                <w:sz w:val="21"/>
                <w:szCs w:val="21"/>
              </w:rPr>
            </w:pPr>
            <w:r>
              <w:rPr>
                <w:rFonts w:ascii="仿宋" w:hAnsi="仿宋"/>
                <w:sz w:val="21"/>
                <w:szCs w:val="21"/>
              </w:rPr>
              <w:t>临时宿舍、文化福利及公用事业房屋与构筑物、仓库、办公室、加工场以及在规定范围内道路、水、电、管线等临时设施和小型临时设施</w:t>
            </w:r>
          </w:p>
        </w:tc>
        <w:tc>
          <w:tcPr>
            <w:tcW w:w="6022" w:type="dxa"/>
            <w:vAlign w:val="center"/>
          </w:tcPr>
          <w:p>
            <w:pPr>
              <w:widowControl w:val="0"/>
              <w:spacing w:line="288" w:lineRule="auto"/>
              <w:ind w:firstLine="0" w:firstLineChars="0"/>
              <w:rPr>
                <w:rFonts w:ascii="仿宋" w:hAnsi="仿宋"/>
                <w:sz w:val="21"/>
                <w:szCs w:val="21"/>
              </w:rPr>
            </w:pPr>
            <w:r>
              <w:rPr>
                <w:rFonts w:hint="eastAsia" w:ascii="仿宋" w:hAnsi="仿宋"/>
                <w:sz w:val="21"/>
                <w:szCs w:val="21"/>
              </w:rPr>
              <w:t>①</w:t>
            </w:r>
            <w:r>
              <w:rPr>
                <w:rFonts w:ascii="仿宋" w:hAnsi="仿宋"/>
                <w:sz w:val="21"/>
                <w:szCs w:val="21"/>
              </w:rPr>
              <w:t>临时设施的搭设、维修、拆除费或摊销费</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hint="eastAsia" w:ascii="仿宋" w:hAnsi="仿宋"/>
                <w:sz w:val="21"/>
                <w:szCs w:val="21"/>
              </w:rPr>
              <w:t>②</w:t>
            </w:r>
            <w:r>
              <w:rPr>
                <w:rFonts w:ascii="仿宋" w:hAnsi="仿宋"/>
                <w:sz w:val="21"/>
                <w:szCs w:val="21"/>
              </w:rPr>
              <w:t>按照TN-S系统要求配备五芯电缆、四芯电缆和三芯电缆</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ascii="仿宋" w:hAnsi="仿宋"/>
                <w:sz w:val="21"/>
                <w:szCs w:val="21"/>
              </w:rPr>
              <w:t>③按要求架设临时用电线路的电杆、横担、瓷夹、瓷瓶等，或电缆埋地的地沟</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ascii="仿宋" w:hAnsi="仿宋"/>
                <w:sz w:val="21"/>
                <w:szCs w:val="21"/>
              </w:rPr>
              <w:t>④对靠近施工现场的外电线路，设置木质、塑料等绝缘体的防护设施</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ascii="仿宋" w:hAnsi="仿宋"/>
                <w:sz w:val="21"/>
                <w:szCs w:val="21"/>
              </w:rPr>
              <w:t>⑤按三级配电要求，配备总配电箱、分配电箱、开关箱三类标准电箱</w:t>
            </w:r>
            <w:r>
              <w:rPr>
                <w:rFonts w:hint="eastAsia" w:ascii="仿宋" w:hAnsi="仿宋"/>
                <w:sz w:val="21"/>
                <w:szCs w:val="21"/>
              </w:rPr>
              <w:t>。</w:t>
            </w:r>
          </w:p>
          <w:p>
            <w:pPr>
              <w:widowControl w:val="0"/>
              <w:spacing w:line="288" w:lineRule="auto"/>
              <w:ind w:firstLine="0" w:firstLineChars="0"/>
              <w:rPr>
                <w:rFonts w:ascii="仿宋" w:hAnsi="仿宋"/>
                <w:sz w:val="21"/>
                <w:szCs w:val="21"/>
              </w:rPr>
            </w:pPr>
            <w:r>
              <w:rPr>
                <w:rFonts w:ascii="仿宋" w:hAnsi="仿宋"/>
                <w:sz w:val="21"/>
                <w:szCs w:val="21"/>
              </w:rPr>
              <w:t>⑥按两级保护的要求，选取符合容量要求和质量合格的总配电箱和开关箱中的漏电保护器。</w:t>
            </w:r>
          </w:p>
        </w:tc>
      </w:tr>
    </w:tbl>
    <w:p>
      <w:pPr>
        <w:pStyle w:val="3"/>
        <w:widowControl w:val="0"/>
        <w:spacing w:before="200"/>
      </w:pPr>
      <w:bookmarkStart w:id="52" w:name="_Toc524073747"/>
      <w:bookmarkStart w:id="53" w:name="_Toc21508"/>
      <w:r>
        <w:rPr>
          <w:rFonts w:hint="eastAsia"/>
        </w:rPr>
        <w:t xml:space="preserve">第四章 </w:t>
      </w:r>
      <w:bookmarkEnd w:id="52"/>
      <w:r>
        <w:t>安全文明施工费验工计价相关要求</w:t>
      </w:r>
      <w:bookmarkEnd w:id="53"/>
    </w:p>
    <w:p>
      <w:pPr>
        <w:pStyle w:val="47"/>
        <w:widowControl w:val="0"/>
        <w:spacing w:line="360" w:lineRule="auto"/>
        <w:ind w:firstLine="482"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b/>
          <w:kern w:val="2"/>
        </w:rPr>
        <w:t>第十三条</w:t>
      </w:r>
      <w:r>
        <w:rPr>
          <w:rFonts w:hint="eastAsia" w:ascii="仿宋" w:hAnsi="仿宋" w:eastAsia="仿宋" w:cs="仿宋"/>
          <w:b/>
          <w:sz w:val="28"/>
          <w:szCs w:val="28"/>
        </w:rPr>
        <w:t xml:space="preserve"> </w:t>
      </w:r>
      <w:r>
        <w:rPr>
          <w:rFonts w:hint="eastAsia" w:cs="Times New Roman" w:asciiTheme="minorEastAsia" w:hAnsiTheme="minorEastAsia" w:eastAsiaTheme="minorEastAsia"/>
          <w:kern w:val="2"/>
        </w:rPr>
        <w:t>各工区要结合实际列出需要采取的安全文明施工费用项目清单，制定总计划和年度计划，经总承包项目部批准后再投入。</w:t>
      </w:r>
    </w:p>
    <w:p>
      <w:pPr>
        <w:widowControl w:val="0"/>
        <w:ind w:firstLine="482"/>
        <w:rPr>
          <w:rFonts w:ascii="仿宋" w:hAnsi="仿宋" w:cs="仿宋"/>
          <w:kern w:val="0"/>
          <w:sz w:val="28"/>
          <w:szCs w:val="28"/>
        </w:rPr>
      </w:pPr>
      <w:r>
        <w:rPr>
          <w:rFonts w:hint="eastAsia" w:asciiTheme="minorEastAsia" w:hAnsiTheme="minorEastAsia"/>
          <w:b/>
        </w:rPr>
        <w:t>第十四条</w:t>
      </w:r>
      <w:r>
        <w:rPr>
          <w:rFonts w:hint="eastAsia" w:ascii="仿宋" w:hAnsi="仿宋" w:cs="仿宋"/>
          <w:b/>
          <w:sz w:val="28"/>
          <w:szCs w:val="28"/>
        </w:rPr>
        <w:t xml:space="preserve"> </w:t>
      </w:r>
      <w:r>
        <w:rPr>
          <w:rFonts w:hint="eastAsia" w:asciiTheme="minorEastAsia" w:hAnsiTheme="minorEastAsia"/>
        </w:rPr>
        <w:t>安全文明施工费在预付款之后按月（或多个月）提供计价资料开始验工计价。</w:t>
      </w:r>
    </w:p>
    <w:p>
      <w:pPr>
        <w:pStyle w:val="47"/>
        <w:widowControl w:val="0"/>
        <w:spacing w:line="360" w:lineRule="auto"/>
        <w:ind w:firstLine="482"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b/>
          <w:kern w:val="2"/>
        </w:rPr>
        <w:t>第十五条</w:t>
      </w:r>
      <w:r>
        <w:rPr>
          <w:rFonts w:hint="eastAsia" w:ascii="仿宋" w:hAnsi="仿宋" w:eastAsia="仿宋" w:cs="仿宋"/>
          <w:b/>
          <w:sz w:val="28"/>
          <w:szCs w:val="28"/>
        </w:rPr>
        <w:t xml:space="preserve"> </w:t>
      </w:r>
      <w:r>
        <w:rPr>
          <w:rFonts w:hint="eastAsia" w:cs="Times New Roman" w:asciiTheme="minorEastAsia" w:hAnsiTheme="minorEastAsia" w:eastAsiaTheme="minorEastAsia"/>
          <w:kern w:val="2"/>
        </w:rPr>
        <w:t>安全文明施工费验工计价资料单独组卷，组卷内容包括但不限于封面、目录、项目说明、费用组成、合同及发票（复印件）。</w:t>
      </w:r>
    </w:p>
    <w:p>
      <w:pPr>
        <w:widowControl w:val="0"/>
        <w:ind w:firstLine="482"/>
      </w:pPr>
      <w:r>
        <w:rPr>
          <w:rFonts w:hint="eastAsia" w:asciiTheme="minorEastAsia" w:hAnsiTheme="minorEastAsia"/>
          <w:b/>
        </w:rPr>
        <w:t>第十六条</w:t>
      </w:r>
      <w:r>
        <w:rPr>
          <w:rFonts w:hint="eastAsia" w:ascii="仿宋" w:hAnsi="仿宋" w:eastAsia="仿宋" w:cs="仿宋"/>
          <w:sz w:val="28"/>
          <w:szCs w:val="28"/>
        </w:rPr>
        <w:t xml:space="preserve"> </w:t>
      </w:r>
      <w:r>
        <w:rPr>
          <w:rFonts w:hint="eastAsia" w:asciiTheme="minorEastAsia" w:hAnsiTheme="minorEastAsia"/>
        </w:rPr>
        <w:t>各工区应保证安全文明施工费用组卷资料的真实性和准确性。若提供虚假资料，一经发现，按照虚假资料对应金额的</w:t>
      </w:r>
      <w:r>
        <w:t>10</w:t>
      </w:r>
      <w:r>
        <w:rPr>
          <w:rFonts w:hint="eastAsia" w:asciiTheme="minorEastAsia" w:hAnsiTheme="minorEastAsia"/>
        </w:rPr>
        <w:t>倍进行罚款，在当期计价中直接扣除并全线通报批评，同时通报其上级单位。</w:t>
      </w:r>
    </w:p>
    <w:p>
      <w:pPr>
        <w:pStyle w:val="3"/>
        <w:widowControl w:val="0"/>
      </w:pPr>
      <w:bookmarkStart w:id="54" w:name="_Toc524073748"/>
      <w:bookmarkStart w:id="55" w:name="_Toc14409"/>
      <w:r>
        <w:rPr>
          <w:rFonts w:hint="eastAsia"/>
        </w:rPr>
        <w:t xml:space="preserve">第五章 </w:t>
      </w:r>
      <w:bookmarkEnd w:id="54"/>
      <w:r>
        <w:rPr>
          <w:rFonts w:hint="eastAsia"/>
        </w:rPr>
        <w:t>职责</w:t>
      </w:r>
      <w:bookmarkEnd w:id="55"/>
    </w:p>
    <w:p>
      <w:pPr>
        <w:pStyle w:val="47"/>
        <w:widowControl w:val="0"/>
        <w:spacing w:line="360" w:lineRule="auto"/>
        <w:ind w:firstLine="482"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b/>
          <w:kern w:val="2"/>
        </w:rPr>
        <w:t>第十七条</w:t>
      </w:r>
      <w:r>
        <w:rPr>
          <w:rFonts w:hint="eastAsia" w:ascii="仿宋" w:hAnsi="仿宋" w:eastAsia="仿宋" w:cs="仿宋"/>
          <w:sz w:val="28"/>
          <w:szCs w:val="28"/>
        </w:rPr>
        <w:t xml:space="preserve"> </w:t>
      </w:r>
      <w:r>
        <w:rPr>
          <w:rFonts w:hint="eastAsia" w:cs="Times New Roman" w:asciiTheme="minorEastAsia" w:hAnsiTheme="minorEastAsia" w:eastAsiaTheme="minorEastAsia"/>
          <w:kern w:val="2"/>
        </w:rPr>
        <w:t>工区职责</w:t>
      </w:r>
    </w:p>
    <w:p>
      <w:pPr>
        <w:widowControl w:val="0"/>
        <w:adjustRightInd w:val="0"/>
        <w:snapToGrid w:val="0"/>
        <w:ind w:firstLine="480"/>
        <w:rPr>
          <w:rFonts w:asciiTheme="minorEastAsia" w:hAnsiTheme="minorEastAsia"/>
        </w:rPr>
      </w:pPr>
      <w:r>
        <w:rPr>
          <w:rFonts w:hint="eastAsia"/>
        </w:rPr>
        <w:t>（一）</w:t>
      </w:r>
      <w:r>
        <w:rPr>
          <w:rFonts w:hint="eastAsia" w:asciiTheme="minorEastAsia" w:hAnsiTheme="minorEastAsia"/>
        </w:rPr>
        <w:t>工区经理应保证本工区安全文明施工费用的有效投入和实施。各工区不能及时保证本工区安全文明施工费用有效投入和实施的，总承包项目部有权委托其他单位进行安全文明施工费用的有效投入和实施，并从合同计量款中提取相关费用；</w:t>
      </w:r>
    </w:p>
    <w:p>
      <w:pPr>
        <w:widowControl w:val="0"/>
        <w:adjustRightInd w:val="0"/>
        <w:snapToGrid w:val="0"/>
        <w:ind w:firstLine="480"/>
        <w:rPr>
          <w:rFonts w:asciiTheme="minorEastAsia" w:hAnsiTheme="minorEastAsia"/>
        </w:rPr>
      </w:pPr>
      <w:r>
        <w:rPr>
          <w:rFonts w:hint="eastAsia" w:asciiTheme="minorEastAsia" w:hAnsiTheme="minorEastAsia"/>
        </w:rPr>
        <w:t>（二）工区安质环保部负责编制本工区的安全文明施工费用使用计划，负责安全文明施工费用支出的统计；负责对安全文明施工费用（资金）发票和自制原始凭证的复核；负责收集整理安全文明施工费用（资金）发票和自制原始凭证的复印件，建立健全安全措施费台账，督促检查安全文明施工费用的投入落实；</w:t>
      </w:r>
    </w:p>
    <w:p>
      <w:pPr>
        <w:widowControl w:val="0"/>
        <w:adjustRightInd w:val="0"/>
        <w:snapToGrid w:val="0"/>
        <w:ind w:firstLine="480"/>
        <w:rPr>
          <w:rFonts w:asciiTheme="minorEastAsia" w:hAnsiTheme="minorEastAsia"/>
        </w:rPr>
      </w:pPr>
      <w:r>
        <w:rPr>
          <w:rFonts w:hint="eastAsia" w:asciiTheme="minorEastAsia" w:hAnsiTheme="minorEastAsia"/>
        </w:rPr>
        <w:t>（三）工区合约部负责资料组卷，经总承包项目部审核后，上报监理单位部专业监理单位工程师审核，审核通过后交与总承包项目部进行验工计价工作；</w:t>
      </w:r>
    </w:p>
    <w:p>
      <w:pPr>
        <w:widowControl w:val="0"/>
        <w:adjustRightInd w:val="0"/>
        <w:snapToGrid w:val="0"/>
        <w:ind w:firstLine="480"/>
        <w:rPr>
          <w:rFonts w:asciiTheme="minorEastAsia" w:hAnsiTheme="minorEastAsia"/>
        </w:rPr>
      </w:pPr>
      <w:r>
        <w:rPr>
          <w:rFonts w:hint="eastAsia" w:asciiTheme="minorEastAsia" w:hAnsiTheme="minorEastAsia"/>
        </w:rPr>
        <w:t>（四）工区工程部在审核有关方案时负责审核实施相关安全技术（专项）方案实施的资源、资金等保证措施；并督促工区相关部门对审批后方案中的安全技术措施进行有效落实；</w:t>
      </w:r>
    </w:p>
    <w:p>
      <w:pPr>
        <w:widowControl w:val="0"/>
        <w:adjustRightInd w:val="0"/>
        <w:snapToGrid w:val="0"/>
        <w:ind w:firstLine="480"/>
        <w:rPr>
          <w:rFonts w:asciiTheme="minorEastAsia" w:hAnsiTheme="minorEastAsia"/>
        </w:rPr>
      </w:pPr>
      <w:r>
        <w:rPr>
          <w:rFonts w:hint="eastAsia" w:asciiTheme="minorEastAsia" w:hAnsiTheme="minorEastAsia"/>
        </w:rPr>
        <w:t>（五）工区物资设备部负责安全防护设备、设施购置费用计划的采购。</w:t>
      </w:r>
    </w:p>
    <w:p>
      <w:pPr>
        <w:pStyle w:val="47"/>
        <w:widowControl w:val="0"/>
        <w:spacing w:line="360" w:lineRule="auto"/>
        <w:ind w:firstLine="482"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b/>
          <w:kern w:val="2"/>
        </w:rPr>
        <w:t xml:space="preserve">第十八条 </w:t>
      </w:r>
      <w:r>
        <w:rPr>
          <w:rFonts w:hint="eastAsia" w:cs="Times New Roman" w:asciiTheme="minorEastAsia" w:hAnsiTheme="minorEastAsia" w:eastAsiaTheme="minorEastAsia"/>
          <w:kern w:val="2"/>
        </w:rPr>
        <w:t>总承包项目部职责：</w:t>
      </w:r>
    </w:p>
    <w:p>
      <w:pPr>
        <w:widowControl w:val="0"/>
        <w:adjustRightInd w:val="0"/>
        <w:snapToGrid w:val="0"/>
        <w:ind w:firstLine="480"/>
        <w:rPr>
          <w:rFonts w:asciiTheme="minorEastAsia" w:hAnsiTheme="minorEastAsia"/>
        </w:rPr>
      </w:pPr>
      <w:r>
        <w:rPr>
          <w:rFonts w:hint="eastAsia" w:asciiTheme="minorEastAsia" w:hAnsiTheme="minorEastAsia"/>
        </w:rPr>
        <w:t>（一）项目经理应保证本项目安全文明施工费用的有效投入和实施；</w:t>
      </w:r>
    </w:p>
    <w:p>
      <w:pPr>
        <w:widowControl w:val="0"/>
        <w:adjustRightInd w:val="0"/>
        <w:snapToGrid w:val="0"/>
        <w:ind w:firstLine="480"/>
        <w:rPr>
          <w:rFonts w:asciiTheme="minorEastAsia" w:hAnsiTheme="minorEastAsia"/>
        </w:rPr>
      </w:pPr>
      <w:r>
        <w:rPr>
          <w:rFonts w:hint="eastAsia" w:asciiTheme="minorEastAsia" w:hAnsiTheme="minorEastAsia"/>
        </w:rPr>
        <w:t>（二）安质环保部负责收集、审核、审批安全文明施工费使用计划，定期分析实际使用和计划使用差别的原因，制定措施，监督落实；</w:t>
      </w:r>
    </w:p>
    <w:p>
      <w:pPr>
        <w:widowControl w:val="0"/>
        <w:adjustRightInd w:val="0"/>
        <w:snapToGrid w:val="0"/>
        <w:ind w:firstLine="480"/>
        <w:rPr>
          <w:rFonts w:asciiTheme="minorEastAsia" w:hAnsiTheme="minorEastAsia"/>
        </w:rPr>
      </w:pPr>
      <w:r>
        <w:rPr>
          <w:rFonts w:hint="eastAsia" w:asciiTheme="minorEastAsia" w:hAnsiTheme="minorEastAsia"/>
        </w:rPr>
        <w:t>（三）合约部负责审核验工计价工作，并对造假行为进行处罚；</w:t>
      </w:r>
    </w:p>
    <w:p>
      <w:pPr>
        <w:widowControl w:val="0"/>
        <w:adjustRightInd w:val="0"/>
        <w:snapToGrid w:val="0"/>
        <w:ind w:firstLine="480"/>
        <w:rPr>
          <w:rFonts w:asciiTheme="minorEastAsia" w:hAnsiTheme="minorEastAsia"/>
        </w:rPr>
      </w:pPr>
      <w:r>
        <w:rPr>
          <w:rFonts w:hint="eastAsia" w:asciiTheme="minorEastAsia" w:hAnsiTheme="minorEastAsia"/>
        </w:rPr>
        <w:t>（四）工程部负责审核实施相关安全技术（专项）方案实施的资源、资金等保证措施；并督促工区相关部门对审批后方案中的安全技术措施进行有效落实，协助合约部进行验工计价工作；</w:t>
      </w:r>
    </w:p>
    <w:p>
      <w:pPr>
        <w:widowControl w:val="0"/>
        <w:adjustRightInd w:val="0"/>
        <w:snapToGrid w:val="0"/>
        <w:ind w:firstLine="480"/>
        <w:rPr>
          <w:rFonts w:asciiTheme="minorEastAsia" w:hAnsiTheme="minorEastAsia"/>
        </w:rPr>
      </w:pPr>
      <w:r>
        <w:rPr>
          <w:rFonts w:hint="eastAsia" w:asciiTheme="minorEastAsia" w:hAnsiTheme="minorEastAsia"/>
        </w:rPr>
        <w:t>（五）物资设备部负责总包部安全防护设备、设施购置费用计划的采购。</w:t>
      </w:r>
    </w:p>
    <w:p>
      <w:pPr>
        <w:pStyle w:val="3"/>
        <w:widowControl w:val="0"/>
      </w:pPr>
      <w:bookmarkStart w:id="56" w:name="_Toc524073753"/>
      <w:bookmarkStart w:id="57" w:name="_Toc17163"/>
      <w:r>
        <w:rPr>
          <w:rFonts w:hint="eastAsia"/>
        </w:rPr>
        <w:t>第六章 附则</w:t>
      </w:r>
      <w:bookmarkEnd w:id="56"/>
      <w:bookmarkEnd w:id="57"/>
    </w:p>
    <w:p>
      <w:pPr>
        <w:widowControl w:val="0"/>
        <w:adjustRightInd w:val="0"/>
        <w:snapToGrid w:val="0"/>
        <w:ind w:firstLine="482"/>
        <w:rPr>
          <w:rFonts w:asciiTheme="minorEastAsia" w:hAnsiTheme="minorEastAsia"/>
        </w:rPr>
      </w:pPr>
      <w:r>
        <w:rPr>
          <w:rFonts w:hint="eastAsia" w:asciiTheme="minorEastAsia" w:hAnsiTheme="minorEastAsia"/>
          <w:b/>
        </w:rPr>
        <w:t xml:space="preserve">第十九条 </w:t>
      </w:r>
      <w:r>
        <w:rPr>
          <w:rFonts w:hint="eastAsia" w:asciiTheme="minorEastAsia" w:hAnsiTheme="minorEastAsia"/>
        </w:rPr>
        <w:t>本办法自下发之日起开始执行。</w:t>
      </w:r>
    </w:p>
    <w:p>
      <w:pPr>
        <w:widowControl w:val="0"/>
        <w:ind w:firstLine="482"/>
        <w:rPr>
          <w:rFonts w:asciiTheme="minorEastAsia" w:hAnsiTheme="minorEastAsia"/>
        </w:rPr>
      </w:pPr>
      <w:r>
        <w:rPr>
          <w:rFonts w:hint="eastAsia" w:asciiTheme="minorEastAsia" w:hAnsiTheme="minorEastAsia"/>
          <w:b/>
        </w:rPr>
        <w:t xml:space="preserve">第二十条 </w:t>
      </w:r>
      <w:r>
        <w:rPr>
          <w:rFonts w:hint="eastAsia" w:asciiTheme="minorEastAsia" w:hAnsiTheme="minorEastAsia"/>
        </w:rPr>
        <w:t>本办法由安质环保部和合约部负责解释。</w:t>
      </w:r>
    </w:p>
    <w:p>
      <w:pPr>
        <w:widowControl w:val="0"/>
        <w:ind w:firstLine="560"/>
        <w:rPr>
          <w:rFonts w:ascii="仿宋" w:hAnsi="仿宋" w:eastAsia="仿宋" w:cs="仿宋"/>
          <w:sz w:val="28"/>
          <w:szCs w:val="28"/>
        </w:rPr>
      </w:pPr>
      <w:r>
        <w:rPr>
          <w:rFonts w:ascii="仿宋" w:hAnsi="仿宋" w:eastAsia="仿宋" w:cs="仿宋"/>
          <w:sz w:val="28"/>
          <w:szCs w:val="28"/>
        </w:rPr>
        <w:br w:type="page"/>
      </w:r>
    </w:p>
    <w:p>
      <w:pPr>
        <w:pStyle w:val="2"/>
      </w:pPr>
      <w:bookmarkStart w:id="58" w:name="_Toc12294"/>
      <w:bookmarkStart w:id="59" w:name="_Toc16066"/>
      <w:r>
        <w:rPr>
          <w:rFonts w:hint="eastAsia"/>
        </w:rPr>
        <w:t>三、安全生产教育培训制度</w:t>
      </w:r>
      <w:bookmarkEnd w:id="5"/>
      <w:bookmarkEnd w:id="58"/>
      <w:bookmarkEnd w:id="59"/>
    </w:p>
    <w:p>
      <w:pPr>
        <w:widowControl w:val="0"/>
        <w:ind w:firstLine="482"/>
      </w:pPr>
      <w:r>
        <w:rPr>
          <w:rFonts w:hint="eastAsia" w:asciiTheme="minorEastAsia" w:hAnsiTheme="minorEastAsia"/>
          <w:b/>
        </w:rPr>
        <w:t xml:space="preserve">第一条 </w:t>
      </w:r>
      <w:r>
        <w:rPr>
          <w:rFonts w:hint="eastAsia"/>
        </w:rPr>
        <w:t>为提高</w:t>
      </w:r>
      <w:r>
        <w:rPr>
          <w:rFonts w:hint="eastAsia" w:ascii="宋体" w:hAnsi="宋体" w:eastAsia="宋体"/>
          <w:bCs/>
        </w:rPr>
        <w:t>苏州中车建设工程有限公司台州市域铁路</w:t>
      </w:r>
      <w:r>
        <w:rPr>
          <w:rFonts w:eastAsia="宋体"/>
          <w:bCs/>
        </w:rPr>
        <w:t>S1</w:t>
      </w:r>
      <w:r>
        <w:rPr>
          <w:rFonts w:hint="eastAsia" w:ascii="宋体" w:hAnsi="宋体" w:eastAsia="宋体"/>
          <w:bCs/>
        </w:rPr>
        <w:t>线一</w:t>
      </w:r>
      <w:r>
        <w:rPr>
          <w:rFonts w:hint="eastAsia" w:eastAsia="宋体"/>
          <w:bCs/>
        </w:rPr>
        <w:t>期PPP</w:t>
      </w:r>
      <w:r>
        <w:rPr>
          <w:rFonts w:hint="eastAsia" w:ascii="宋体" w:hAnsi="宋体" w:eastAsia="宋体"/>
          <w:bCs/>
        </w:rPr>
        <w:t>项目工程总承包项目部（以下简称“总承包项目部”）</w:t>
      </w:r>
      <w:r>
        <w:rPr>
          <w:rFonts w:hint="eastAsia"/>
        </w:rPr>
        <w:t>安全生产管理水平，全面覆盖对所有参建员工的安全教育、培训工作，本着先培训后上岗的要求，结合总承包项目部的实际情况，特制定本制度。</w:t>
      </w:r>
    </w:p>
    <w:p>
      <w:pPr>
        <w:widowControl w:val="0"/>
        <w:ind w:firstLine="482"/>
      </w:pPr>
      <w:r>
        <w:rPr>
          <w:rFonts w:hint="eastAsia" w:asciiTheme="minorEastAsia" w:hAnsiTheme="minorEastAsia"/>
          <w:b/>
        </w:rPr>
        <w:t>第二条</w:t>
      </w:r>
      <w:r>
        <w:rPr>
          <w:rFonts w:hint="eastAsia"/>
        </w:rPr>
        <w:t xml:space="preserve"> 总承包项目部每年制订安全教育培训计划，对各级管理人员、从业人员组织安全教育培训，以提高全体员工安全生产意识，熟悉有关安全生产的法律法规、规章制度和操作规程，具备必要的安全生产知识，掌握本岗位的安全操作技能，了解事故应急处理措施，知悉自身在安全生产方面的权利和义务。</w:t>
      </w:r>
    </w:p>
    <w:p>
      <w:pPr>
        <w:widowControl w:val="0"/>
        <w:ind w:firstLine="482"/>
      </w:pPr>
      <w:r>
        <w:rPr>
          <w:rFonts w:hint="eastAsia" w:asciiTheme="minorEastAsia" w:hAnsiTheme="minorEastAsia"/>
          <w:b/>
        </w:rPr>
        <w:t>第三条</w:t>
      </w:r>
      <w:r>
        <w:rPr>
          <w:rFonts w:hint="eastAsia"/>
        </w:rPr>
        <w:t xml:space="preserve"> 项目从业人员教育培训覆盖率达到</w:t>
      </w:r>
      <w:r>
        <w:rPr>
          <w:rFonts w:hint="eastAsia" w:eastAsia="宋体"/>
          <w:bCs/>
        </w:rPr>
        <w:t>100</w:t>
      </w:r>
      <w:r>
        <w:rPr>
          <w:rFonts w:hint="eastAsia"/>
        </w:rPr>
        <w:t>%，未经安全生产教育和培训合格的人员，不得上岗作业，培训合格成绩为</w:t>
      </w:r>
      <w:r>
        <w:rPr>
          <w:rFonts w:hint="eastAsia" w:eastAsia="宋体"/>
          <w:bCs/>
        </w:rPr>
        <w:t>80</w:t>
      </w:r>
      <w:r>
        <w:rPr>
          <w:rFonts w:hint="eastAsia"/>
        </w:rPr>
        <w:t>分，对于错题要进行订正。</w:t>
      </w:r>
    </w:p>
    <w:p>
      <w:pPr>
        <w:widowControl w:val="0"/>
        <w:ind w:firstLine="482"/>
      </w:pPr>
      <w:r>
        <w:rPr>
          <w:rFonts w:hint="eastAsia" w:asciiTheme="minorEastAsia" w:hAnsiTheme="minorEastAsia"/>
          <w:b/>
        </w:rPr>
        <w:t>第四条</w:t>
      </w:r>
      <w:r>
        <w:t xml:space="preserve"> </w:t>
      </w:r>
      <w:r>
        <w:rPr>
          <w:rFonts w:hint="eastAsia"/>
        </w:rPr>
        <w:t>项目负责人和安全管理人员必须经安全生产监督管理部门考核合格取得资格证书后方可任职，并每年参加继续教育，掌握安全生产方面的新政策、新制度和新知识。</w:t>
      </w:r>
    </w:p>
    <w:p>
      <w:pPr>
        <w:widowControl w:val="0"/>
        <w:ind w:firstLine="482"/>
      </w:pPr>
      <w:r>
        <w:rPr>
          <w:rFonts w:hint="eastAsia" w:asciiTheme="minorEastAsia" w:hAnsiTheme="minorEastAsia"/>
          <w:b/>
        </w:rPr>
        <w:t>第五条</w:t>
      </w:r>
      <w:r>
        <w:rPr>
          <w:rFonts w:hint="eastAsia"/>
        </w:rPr>
        <w:t xml:space="preserve"> 新工人入场须进行三级安全教育，调换工种的人员以及采用新材料、新设备、新技术、新工艺的操作人员应重新进行安全教育培训，考核合格后方可上岗。</w:t>
      </w:r>
    </w:p>
    <w:p>
      <w:pPr>
        <w:widowControl w:val="0"/>
        <w:ind w:firstLine="482"/>
      </w:pPr>
      <w:r>
        <w:rPr>
          <w:rFonts w:hint="eastAsia"/>
          <w:b/>
        </w:rPr>
        <w:t>第六条</w:t>
      </w:r>
      <w:r>
        <w:rPr>
          <w:rFonts w:hint="eastAsia"/>
        </w:rPr>
        <w:t xml:space="preserve"> 公司级安全培训教育的主要内容是：国家和地方有关安全生产的方针、政策、法规、标准、规范、规程和企业的安全规章制度等。培训教育的时间不得少</w:t>
      </w:r>
      <w:r>
        <w:rPr>
          <w:rFonts w:hint="eastAsia" w:eastAsia="宋体"/>
          <w:bCs/>
        </w:rPr>
        <w:t>于15学</w:t>
      </w:r>
      <w:r>
        <w:rPr>
          <w:rFonts w:hint="eastAsia"/>
        </w:rPr>
        <w:t>时。项目级安全培训教育的主要内容是：工地安全制度、施工现场环境、工程施工特点及可能存在的不安全因素等。培训教育的时间不得少于15学时。班组级安全培训教育的主要内容是：本工种的安全操作规程、事故安全案例、劳动纪律和岗位讲评等。培训教育的时间不得少于20学时。</w:t>
      </w:r>
    </w:p>
    <w:p>
      <w:pPr>
        <w:widowControl w:val="0"/>
        <w:ind w:firstLine="482"/>
      </w:pPr>
      <w:r>
        <w:rPr>
          <w:rFonts w:hint="eastAsia" w:asciiTheme="minorEastAsia" w:hAnsiTheme="minorEastAsia"/>
          <w:b/>
        </w:rPr>
        <w:t>第七条</w:t>
      </w:r>
      <w:r>
        <w:rPr>
          <w:rFonts w:hint="eastAsia"/>
        </w:rPr>
        <w:t xml:space="preserve"> 特种作业人员，必须按照国家有关法律、法规的制度接受专门的安全培训，经考核合格，取得特种作业操作资格证书后，方可上岗作业。</w:t>
      </w:r>
      <w:bookmarkStart w:id="60" w:name="_Toc517516695"/>
    </w:p>
    <w:p>
      <w:pPr>
        <w:widowControl w:val="0"/>
        <w:ind w:firstLine="482"/>
      </w:pPr>
      <w:r>
        <w:rPr>
          <w:rFonts w:hint="eastAsia" w:asciiTheme="minorEastAsia" w:hAnsiTheme="minorEastAsia"/>
          <w:b/>
        </w:rPr>
        <w:t>第八条</w:t>
      </w:r>
      <w:r>
        <w:rPr>
          <w:rFonts w:hint="eastAsia" w:asciiTheme="minorEastAsia" w:hAnsiTheme="minorEastAsia"/>
        </w:rPr>
        <w:t xml:space="preserve"> 专职安全员必须经有关主管部门进行安全技术培训，取得安全考核合格证书（</w:t>
      </w:r>
      <w:r>
        <w:rPr>
          <w:rFonts w:hint="eastAsia"/>
        </w:rPr>
        <w:t>C</w:t>
      </w:r>
      <w:r>
        <w:rPr>
          <w:rFonts w:hint="eastAsia" w:asciiTheme="minorEastAsia" w:hAnsiTheme="minorEastAsia"/>
        </w:rPr>
        <w:t>类）；每年度应接受不少于</w:t>
      </w:r>
      <w:r>
        <w:rPr>
          <w:rFonts w:hint="eastAsia"/>
        </w:rPr>
        <w:t>48</w:t>
      </w:r>
      <w:r>
        <w:rPr>
          <w:rFonts w:hint="eastAsia" w:asciiTheme="minorEastAsia" w:hAnsiTheme="minorEastAsia"/>
        </w:rPr>
        <w:t>学时的安全技术培训。</w:t>
      </w:r>
    </w:p>
    <w:p>
      <w:pPr>
        <w:widowControl w:val="0"/>
        <w:ind w:firstLine="482"/>
      </w:pPr>
      <w:r>
        <w:rPr>
          <w:rFonts w:hint="eastAsia" w:asciiTheme="minorEastAsia" w:hAnsiTheme="minorEastAsia"/>
          <w:b/>
        </w:rPr>
        <w:t>第九条</w:t>
      </w:r>
      <w:r>
        <w:rPr>
          <w:rFonts w:asciiTheme="minorEastAsia" w:hAnsiTheme="minorEastAsia"/>
        </w:rPr>
        <w:t xml:space="preserve"> </w:t>
      </w:r>
      <w:r>
        <w:rPr>
          <w:rFonts w:hint="eastAsia" w:asciiTheme="minorEastAsia" w:hAnsiTheme="minorEastAsia"/>
        </w:rPr>
        <w:t>各工区项目部必须建立安全教育档案，经三级安全教育新入场员工，应填写安全教育登记表，并履行签字手续，由工区安全人员负责管理，未经三级安全教育的人不准分配工作上岗作业。</w:t>
      </w:r>
    </w:p>
    <w:p>
      <w:pPr>
        <w:widowControl w:val="0"/>
        <w:ind w:firstLine="482"/>
      </w:pPr>
      <w:r>
        <w:rPr>
          <w:rFonts w:hint="eastAsia" w:asciiTheme="minorEastAsia" w:hAnsiTheme="minorEastAsia"/>
          <w:b/>
        </w:rPr>
        <w:t>第十条</w:t>
      </w:r>
      <w:r>
        <w:rPr>
          <w:rFonts w:hint="eastAsia" w:asciiTheme="minorEastAsia" w:hAnsiTheme="minorEastAsia"/>
        </w:rPr>
        <w:t xml:space="preserve"> 各工区项目部具体负责并制定培训计划上报总承包项目部安质环保部备案。并建立安全培训</w:t>
      </w:r>
      <w:r>
        <w:rPr>
          <w:rFonts w:hint="eastAsia" w:asciiTheme="minorEastAsia" w:hAnsiTheme="minorEastAsia"/>
          <w:lang w:eastAsia="zh-CN"/>
        </w:rPr>
        <w:t>台账</w:t>
      </w:r>
      <w:r>
        <w:rPr>
          <w:rFonts w:hint="eastAsia" w:asciiTheme="minorEastAsia" w:hAnsiTheme="minorEastAsia"/>
        </w:rPr>
        <w:t>，并在每次教育培训完将培训内容、培训人数、考试成绩留存工区项目部备案。</w:t>
      </w:r>
    </w:p>
    <w:p>
      <w:pPr>
        <w:widowControl w:val="0"/>
        <w:ind w:firstLine="482"/>
      </w:pPr>
      <w:r>
        <w:rPr>
          <w:rFonts w:hint="eastAsia" w:asciiTheme="minorEastAsia" w:hAnsiTheme="minorEastAsia"/>
          <w:b/>
        </w:rPr>
        <w:t>第十一条</w:t>
      </w:r>
      <w:r>
        <w:rPr>
          <w:rFonts w:hint="eastAsia" w:asciiTheme="minorEastAsia" w:hAnsiTheme="minorEastAsia"/>
        </w:rPr>
        <w:t xml:space="preserve"> 各工区项目部充分利用安全会议、宣传栏、读报栏、黑板报、安全宣传标语、安全生产录像等多种形式对施工操作人员进行经常性的安全教育，不断提高工人执行规章制度和安全技术操作规程的自觉性。</w:t>
      </w:r>
    </w:p>
    <w:p>
      <w:pPr>
        <w:widowControl w:val="0"/>
        <w:ind w:firstLine="482"/>
        <w:rPr>
          <w:rFonts w:asciiTheme="minorEastAsia" w:hAnsiTheme="minorEastAsia"/>
        </w:rPr>
      </w:pPr>
      <w:r>
        <w:rPr>
          <w:rFonts w:hint="eastAsia" w:asciiTheme="minorEastAsia" w:hAnsiTheme="minorEastAsia"/>
          <w:b/>
        </w:rPr>
        <w:t>第十二条</w:t>
      </w:r>
      <w:r>
        <w:rPr>
          <w:rFonts w:asciiTheme="minorEastAsia" w:hAnsiTheme="minorEastAsia"/>
        </w:rPr>
        <w:t xml:space="preserve"> </w:t>
      </w:r>
      <w:r>
        <w:rPr>
          <w:rFonts w:hint="eastAsia" w:asciiTheme="minorEastAsia" w:hAnsiTheme="minorEastAsia"/>
        </w:rPr>
        <w:t>安全教育培训工作分别由总承包项目部安质环保部和工区安质环保部门负责组织实施；重要安全技术措施培训，可聘请内部或外部专家进行授课培训。</w:t>
      </w:r>
    </w:p>
    <w:p>
      <w:pPr>
        <w:widowControl w:val="0"/>
        <w:ind w:firstLine="480"/>
        <w:rPr>
          <w:rFonts w:asciiTheme="minorEastAsia" w:hAnsiTheme="minorEastAsia"/>
        </w:rPr>
      </w:pPr>
      <w:r>
        <w:rPr>
          <w:rFonts w:hint="eastAsia" w:asciiTheme="minorEastAsia" w:hAnsiTheme="minorEastAsia"/>
        </w:rPr>
        <w:br w:type="page"/>
      </w:r>
    </w:p>
    <w:p>
      <w:pPr>
        <w:pStyle w:val="2"/>
      </w:pPr>
      <w:bookmarkStart w:id="61" w:name="_Toc28565"/>
      <w:bookmarkStart w:id="62" w:name="_Toc9527"/>
      <w:r>
        <w:rPr>
          <w:rFonts w:hint="eastAsia"/>
        </w:rPr>
        <w:t>四、安全生产例会制度</w:t>
      </w:r>
      <w:bookmarkEnd w:id="61"/>
      <w:bookmarkEnd w:id="62"/>
    </w:p>
    <w:p>
      <w:pPr>
        <w:widowControl w:val="0"/>
        <w:ind w:firstLine="482"/>
      </w:pPr>
      <w:r>
        <w:rPr>
          <w:rFonts w:hint="eastAsia"/>
          <w:b/>
        </w:rPr>
        <w:t xml:space="preserve">第一条 </w:t>
      </w:r>
      <w:r>
        <w:rPr>
          <w:rFonts w:hint="eastAsia"/>
        </w:rPr>
        <w:t>为</w:t>
      </w:r>
      <w:r>
        <w:rPr>
          <w:rFonts w:hint="eastAsia" w:ascii="宋体" w:hAnsi="宋体" w:eastAsia="宋体"/>
          <w:bCs/>
        </w:rPr>
        <w:t>了规范苏州中车建设工程有限公司台州市域铁路</w:t>
      </w:r>
      <w:r>
        <w:rPr>
          <w:rFonts w:hint="eastAsia"/>
        </w:rPr>
        <w:t>S1</w:t>
      </w:r>
      <w:r>
        <w:rPr>
          <w:rFonts w:hint="eastAsia" w:ascii="宋体" w:hAnsi="宋体" w:eastAsia="宋体"/>
          <w:bCs/>
        </w:rPr>
        <w:t>线一期</w:t>
      </w:r>
      <w:r>
        <w:rPr>
          <w:rFonts w:hint="eastAsia"/>
        </w:rPr>
        <w:t>PPP</w:t>
      </w:r>
      <w:r>
        <w:rPr>
          <w:rFonts w:hint="eastAsia" w:ascii="宋体" w:hAnsi="宋体" w:eastAsia="宋体"/>
          <w:bCs/>
        </w:rPr>
        <w:t>项目工程总承包项目部（以下简称“总承包项目部”）的安全生产例会管理，规范现场管理，</w:t>
      </w:r>
      <w:r>
        <w:rPr>
          <w:rFonts w:hint="eastAsia"/>
        </w:rPr>
        <w:t>及时了解、掌握各时期的安全生产情况，</w:t>
      </w:r>
      <w:r>
        <w:rPr>
          <w:rFonts w:hint="eastAsia" w:ascii="宋体" w:hAnsi="宋体" w:eastAsia="宋体"/>
          <w:bCs/>
        </w:rPr>
        <w:t>实现项目管理安全生产目标，结合总承包项目部实际情况，制定本制度。</w:t>
      </w:r>
    </w:p>
    <w:p>
      <w:pPr>
        <w:widowControl w:val="0"/>
        <w:ind w:firstLine="482"/>
        <w:rPr>
          <w:b/>
        </w:rPr>
      </w:pPr>
      <w:r>
        <w:rPr>
          <w:rFonts w:hint="eastAsia"/>
          <w:b/>
        </w:rPr>
        <w:t xml:space="preserve">第二条 </w:t>
      </w:r>
      <w:r>
        <w:rPr>
          <w:rFonts w:hint="eastAsia"/>
          <w:bCs/>
        </w:rPr>
        <w:t>会议时间、人员及内容</w:t>
      </w:r>
    </w:p>
    <w:p>
      <w:pPr>
        <w:widowControl w:val="0"/>
        <w:ind w:firstLine="480"/>
      </w:pPr>
      <w:r>
        <w:rPr>
          <w:rFonts w:hint="eastAsia"/>
        </w:rPr>
        <w:t>（一）会议由总承包项目部安质环保部负责召开，由项目经理主持或主管安全的副经理主持。会议记录由安质环保部人员记录，其内容有：召开事由，召开时间，主持人，参加人，会议处理事项和会议决定，参会人员签到表。</w:t>
      </w:r>
    </w:p>
    <w:p>
      <w:pPr>
        <w:widowControl w:val="0"/>
        <w:ind w:firstLine="480"/>
      </w:pPr>
      <w:r>
        <w:rPr>
          <w:rFonts w:hint="eastAsia"/>
        </w:rPr>
        <w:t>（二）总承包项目部安全生产例会至少每月召开一次，工区项目部每周召开一次。总承包项目部参会人员包括总承包项目部主要负责人、部门负责人；工区项目部参加人员包括工区负责人、技术负责人、安全总监及工程部部长、安质环保部部长。临时性安全会议或紧急安全会议视情况由总承包项目部领导决定召开，与会人员视情况而定。</w:t>
      </w:r>
    </w:p>
    <w:p>
      <w:pPr>
        <w:widowControl w:val="0"/>
        <w:ind w:firstLine="480"/>
      </w:pPr>
      <w:r>
        <w:rPr>
          <w:rFonts w:hint="eastAsia"/>
        </w:rPr>
        <w:t>（三）会议内容</w:t>
      </w:r>
    </w:p>
    <w:p>
      <w:pPr>
        <w:widowControl w:val="0"/>
        <w:ind w:firstLine="480"/>
      </w:pPr>
      <w:r>
        <w:rPr>
          <w:rFonts w:hint="eastAsia"/>
        </w:rPr>
        <w:t>a、根据现场实际情况和施工进度识别、评价危险源。</w:t>
      </w:r>
    </w:p>
    <w:p>
      <w:pPr>
        <w:widowControl w:val="0"/>
        <w:ind w:firstLine="480"/>
      </w:pPr>
      <w:r>
        <w:rPr>
          <w:rFonts w:hint="eastAsia"/>
        </w:rPr>
        <w:t>b、针对重大危险源制定的安全施工方案和措施进行研讨。</w:t>
      </w:r>
    </w:p>
    <w:p>
      <w:pPr>
        <w:widowControl w:val="0"/>
        <w:ind w:firstLine="480"/>
      </w:pPr>
      <w:r>
        <w:rPr>
          <w:rFonts w:hint="eastAsia"/>
        </w:rPr>
        <w:t>c、 针对现场检查发现的</w:t>
      </w:r>
      <w:r>
        <w:rPr>
          <w:rFonts w:hint="eastAsia"/>
          <w:lang w:eastAsia="zh-CN"/>
        </w:rPr>
        <w:t>安全隐患</w:t>
      </w:r>
      <w:r>
        <w:rPr>
          <w:rFonts w:hint="eastAsia"/>
        </w:rPr>
        <w:t>制定整改措施并责成有关人员按时按要求完成整改。</w:t>
      </w:r>
    </w:p>
    <w:p>
      <w:pPr>
        <w:widowControl w:val="0"/>
        <w:ind w:firstLine="480"/>
      </w:pPr>
      <w:r>
        <w:rPr>
          <w:rFonts w:hint="eastAsia"/>
        </w:rPr>
        <w:t>d、研究对违章指挥、违章作业、违反劳动纪律人员，进行处罚。</w:t>
      </w:r>
    </w:p>
    <w:p>
      <w:pPr>
        <w:widowControl w:val="0"/>
        <w:ind w:firstLine="480"/>
      </w:pPr>
      <w:r>
        <w:rPr>
          <w:rFonts w:hint="eastAsia"/>
        </w:rPr>
        <w:t>e、了解上月的安全生产情况，存在问题和注意事项，布置下一阶段的安全生产任务。</w:t>
      </w:r>
    </w:p>
    <w:p>
      <w:pPr>
        <w:widowControl w:val="0"/>
        <w:ind w:firstLine="480"/>
      </w:pPr>
      <w:r>
        <w:rPr>
          <w:rFonts w:hint="eastAsia"/>
        </w:rPr>
        <w:t>f、学习安全生产标准、安全规章制度、安全操作规程等知识，传达上级部门的有关通知、文件精神。</w:t>
      </w:r>
    </w:p>
    <w:p>
      <w:pPr>
        <w:widowControl w:val="0"/>
        <w:ind w:firstLine="480"/>
      </w:pPr>
      <w:r>
        <w:rPr>
          <w:rFonts w:hint="eastAsia"/>
        </w:rPr>
        <w:t>g、通报违纪、先进事迹，以及不安全行为。</w:t>
      </w:r>
    </w:p>
    <w:p>
      <w:pPr>
        <w:widowControl w:val="0"/>
        <w:ind w:firstLine="480"/>
      </w:pPr>
      <w:r>
        <w:rPr>
          <w:rFonts w:hint="eastAsia"/>
        </w:rPr>
        <w:t>h、当发生安全事故或未遂事故后，安全生产负责人要立即召开专题会议，对事故进行详细通报，并分析事故原因，根据“三不放过”原则提出事故预防措施。</w:t>
      </w:r>
    </w:p>
    <w:p>
      <w:pPr>
        <w:widowControl w:val="0"/>
        <w:ind w:firstLine="482"/>
        <w:rPr>
          <w:b/>
        </w:rPr>
      </w:pPr>
      <w:r>
        <w:rPr>
          <w:rFonts w:hint="eastAsia"/>
          <w:b/>
        </w:rPr>
        <w:t xml:space="preserve">第三条 </w:t>
      </w:r>
      <w:r>
        <w:rPr>
          <w:rFonts w:hint="eastAsia"/>
          <w:bCs/>
        </w:rPr>
        <w:t>会议有关职能</w:t>
      </w:r>
    </w:p>
    <w:p>
      <w:pPr>
        <w:widowControl w:val="0"/>
        <w:ind w:firstLine="480"/>
      </w:pPr>
      <w:r>
        <w:rPr>
          <w:rFonts w:hint="eastAsia"/>
        </w:rPr>
        <w:t>贯彻落实“安全第一、预防为主、综合治理”的安全生产方针，保障劳动者在工作中的生命健康和安全，保障本项目安全目标的顺利实现。</w:t>
      </w:r>
    </w:p>
    <w:p>
      <w:pPr>
        <w:widowControl w:val="0"/>
        <w:ind w:firstLine="482"/>
        <w:rPr>
          <w:b/>
        </w:rPr>
      </w:pPr>
      <w:r>
        <w:rPr>
          <w:rFonts w:hint="eastAsia"/>
          <w:b/>
        </w:rPr>
        <w:t>第四条</w:t>
      </w:r>
      <w:r>
        <w:rPr>
          <w:rFonts w:hint="eastAsia"/>
          <w:bCs/>
        </w:rPr>
        <w:t xml:space="preserve"> 会议制度</w:t>
      </w:r>
    </w:p>
    <w:p>
      <w:pPr>
        <w:widowControl w:val="0"/>
        <w:ind w:firstLine="480"/>
      </w:pPr>
      <w:r>
        <w:rPr>
          <w:rFonts w:hint="eastAsia"/>
        </w:rPr>
        <w:t>a、与会人员接到通知后，应按时参加会议，对无故迟到、早退者，每次罚款1000元。</w:t>
      </w:r>
    </w:p>
    <w:p>
      <w:pPr>
        <w:widowControl w:val="0"/>
        <w:ind w:firstLine="480"/>
      </w:pPr>
      <w:r>
        <w:rPr>
          <w:rFonts w:hint="eastAsia"/>
        </w:rPr>
        <w:t>b、到会人员必须按要求签到，否则，按无故缺会处理。所有与会人员应自觉遵守会场纪律，手机设置振动模式，认真做好会议记录。</w:t>
      </w:r>
    </w:p>
    <w:p>
      <w:pPr>
        <w:widowControl w:val="0"/>
        <w:ind w:firstLine="480"/>
      </w:pPr>
      <w:r>
        <w:rPr>
          <w:rFonts w:hint="eastAsia"/>
        </w:rPr>
        <w:t>c、 根据会议要求，要认真做好落实工作。</w:t>
      </w:r>
    </w:p>
    <w:p>
      <w:pPr>
        <w:widowControl w:val="0"/>
        <w:ind w:firstLine="480"/>
      </w:pPr>
    </w:p>
    <w:p>
      <w:pPr>
        <w:widowControl w:val="0"/>
        <w:ind w:firstLine="480"/>
      </w:pPr>
      <w:r>
        <w:br w:type="page"/>
      </w:r>
    </w:p>
    <w:p>
      <w:pPr>
        <w:pStyle w:val="2"/>
      </w:pPr>
      <w:bookmarkStart w:id="63" w:name="_Toc18788"/>
      <w:bookmarkStart w:id="64" w:name="_Toc28163"/>
      <w:r>
        <w:rPr>
          <w:rFonts w:hint="eastAsia"/>
        </w:rPr>
        <w:t>五、安全生产检查和隐患排查治理制度</w:t>
      </w:r>
      <w:bookmarkEnd w:id="60"/>
      <w:bookmarkEnd w:id="63"/>
      <w:bookmarkEnd w:id="64"/>
    </w:p>
    <w:p>
      <w:pPr>
        <w:pStyle w:val="3"/>
        <w:widowControl w:val="0"/>
      </w:pPr>
      <w:bookmarkStart w:id="65" w:name="_Toc11922"/>
      <w:r>
        <w:rPr>
          <w:rFonts w:hint="eastAsia"/>
        </w:rPr>
        <w:t>第一章 安全生产检查</w:t>
      </w:r>
      <w:bookmarkEnd w:id="65"/>
    </w:p>
    <w:p>
      <w:pPr>
        <w:widowControl w:val="0"/>
        <w:ind w:firstLine="482"/>
      </w:pPr>
      <w:r>
        <w:rPr>
          <w:rFonts w:hint="eastAsia"/>
          <w:b/>
        </w:rPr>
        <w:t xml:space="preserve">第一条 </w:t>
      </w:r>
      <w:r>
        <w:rPr>
          <w:rFonts w:hint="eastAsia" w:ascii="宋体" w:hAnsi="宋体" w:eastAsia="宋体"/>
          <w:bCs/>
        </w:rPr>
        <w:t>为了规范苏州中车建设工程有限公司台州市域铁路</w:t>
      </w:r>
      <w:r>
        <w:rPr>
          <w:rFonts w:hint="eastAsia"/>
        </w:rPr>
        <w:t>S1</w:t>
      </w:r>
      <w:r>
        <w:rPr>
          <w:rFonts w:hint="eastAsia" w:ascii="宋体" w:hAnsi="宋体" w:eastAsia="宋体"/>
          <w:bCs/>
        </w:rPr>
        <w:t>线一</w:t>
      </w:r>
      <w:r>
        <w:rPr>
          <w:rFonts w:hint="eastAsia"/>
        </w:rPr>
        <w:t>期PPP</w:t>
      </w:r>
      <w:r>
        <w:rPr>
          <w:rFonts w:hint="eastAsia" w:ascii="宋体" w:hAnsi="宋体" w:eastAsia="宋体"/>
          <w:bCs/>
        </w:rPr>
        <w:t>项目工程总承包项目部（以下简称“总承包项目部”）安全生产检查和隐患排查治理工作，有效的</w:t>
      </w:r>
      <w:r>
        <w:rPr>
          <w:rFonts w:hint="eastAsia"/>
        </w:rPr>
        <w:t>通过安全检查和隐患治理，不断堵塞管理漏洞，改善劳动作业环境，规范作业人员的行为，保证设备系统的安全、可靠运行，实现安全生产的目的。结合总承包项目部的实际情况，制定本制度。</w:t>
      </w:r>
    </w:p>
    <w:p>
      <w:pPr>
        <w:widowControl w:val="0"/>
        <w:ind w:firstLine="482"/>
      </w:pPr>
      <w:r>
        <w:rPr>
          <w:rFonts w:hint="eastAsia"/>
          <w:b/>
        </w:rPr>
        <w:t>第二条</w:t>
      </w:r>
      <w:r>
        <w:rPr>
          <w:rFonts w:hint="eastAsia"/>
        </w:rPr>
        <w:t xml:space="preserve"> 工作流程</w:t>
      </w:r>
    </w:p>
    <w:p>
      <w:pPr>
        <w:widowControl w:val="0"/>
        <w:ind w:firstLine="480"/>
      </w:pPr>
      <w:r>
        <w:rPr>
          <w:rFonts w:hint="eastAsia"/>
        </w:rPr>
        <w:t>安全检查→制定整改措施→落实整改→跟踪验证→回复。</w:t>
      </w:r>
    </w:p>
    <w:p>
      <w:pPr>
        <w:widowControl w:val="0"/>
        <w:ind w:firstLine="482"/>
      </w:pPr>
      <w:r>
        <w:rPr>
          <w:rFonts w:hint="eastAsia"/>
          <w:b/>
        </w:rPr>
        <w:t>第三条</w:t>
      </w:r>
      <w:r>
        <w:t xml:space="preserve"> </w:t>
      </w:r>
      <w:r>
        <w:rPr>
          <w:rFonts w:hint="eastAsia"/>
        </w:rPr>
        <w:t>安全生产检查的类型</w:t>
      </w:r>
    </w:p>
    <w:p>
      <w:pPr>
        <w:widowControl w:val="0"/>
        <w:ind w:firstLine="480"/>
      </w:pPr>
      <w:r>
        <w:rPr>
          <w:rFonts w:hint="eastAsia"/>
        </w:rPr>
        <w:t>（一）定期安全生产检查</w:t>
      </w:r>
    </w:p>
    <w:p>
      <w:pPr>
        <w:widowControl w:val="0"/>
        <w:ind w:firstLine="480"/>
      </w:pPr>
      <w:r>
        <w:rPr>
          <w:rFonts w:hint="eastAsia"/>
        </w:rPr>
        <w:t>总承包项目部定期安全生产检查通过有计划、有组织、有目的的形式来实现，一般每月组织一次，主要针对一般和重大危险源评估、现状安全评价等工作结合开展。</w:t>
      </w:r>
    </w:p>
    <w:p>
      <w:pPr>
        <w:widowControl w:val="0"/>
        <w:ind w:firstLine="480"/>
      </w:pPr>
      <w:r>
        <w:rPr>
          <w:rFonts w:hint="eastAsia"/>
        </w:rPr>
        <w:t>每月由项目经理组织，副经理、安全总监、总工程师及安质环保部、工程部、物资设备部负责人参加。</w:t>
      </w:r>
    </w:p>
    <w:p>
      <w:pPr>
        <w:widowControl w:val="0"/>
        <w:ind w:left="240" w:firstLine="240" w:firstLineChars="0"/>
      </w:pPr>
      <w:r>
        <w:rPr>
          <w:rFonts w:hint="eastAsia"/>
        </w:rPr>
        <w:t>（二）经常性安全生产检查</w:t>
      </w:r>
    </w:p>
    <w:p>
      <w:pPr>
        <w:widowControl w:val="0"/>
        <w:ind w:firstLine="480"/>
      </w:pPr>
      <w:r>
        <w:rPr>
          <w:rFonts w:hint="eastAsia"/>
        </w:rPr>
        <w:t>经常性安全生产检查是由工区项目部组织进行的日常检查。由工区项目部安全总监组织，工区安质环保部部长或安质环保部副部长、专职安全员、机械管理人员、材料员、技术人员、电工参加。包括交接班检查、班中检查、特殊检查等几种形式。</w:t>
      </w:r>
    </w:p>
    <w:p>
      <w:pPr>
        <w:widowControl w:val="0"/>
        <w:ind w:firstLine="480"/>
      </w:pPr>
      <w:r>
        <w:rPr>
          <w:rFonts w:hint="eastAsia"/>
        </w:rPr>
        <w:t>交接班检查是指在交接班前，岗位人员对岗位作业环境、管辖的设备及系统安全运行状况进行检查，交班人员要向接班人员说清楚，接班人员根据自己检查的情况和交班人员的交代，做好工作中可能发生问题及应急处置措施的预想。</w:t>
      </w:r>
    </w:p>
    <w:p>
      <w:pPr>
        <w:widowControl w:val="0"/>
        <w:ind w:firstLine="480"/>
      </w:pPr>
      <w:r>
        <w:rPr>
          <w:rFonts w:hint="eastAsia"/>
        </w:rPr>
        <w:t>班中检查包括岗位作业人虽在工作过程中的安全检查，以及工区项目部领导、安全生产管理部门和班组长或安全监督人员对作业情况的巡视或抽查等。</w:t>
      </w:r>
    </w:p>
    <w:p>
      <w:pPr>
        <w:widowControl w:val="0"/>
        <w:ind w:firstLine="480"/>
      </w:pPr>
      <w:r>
        <w:rPr>
          <w:rFonts w:hint="eastAsia"/>
        </w:rPr>
        <w:t>特殊检查是针对设备、系统存在的异常情况，所采取的加强监视运行的措施。措施由工程技术人员制定，岗位作业人员执行。</w:t>
      </w:r>
    </w:p>
    <w:p>
      <w:pPr>
        <w:widowControl w:val="0"/>
        <w:ind w:firstLine="480"/>
      </w:pPr>
      <w:r>
        <w:rPr>
          <w:rFonts w:hint="eastAsia"/>
        </w:rPr>
        <w:t>交接班检查和班中岗位的自行检查，要制定检查路线、检查项目、检查标准，并设置专用的检查记录本。</w:t>
      </w:r>
    </w:p>
    <w:p>
      <w:pPr>
        <w:widowControl w:val="0"/>
        <w:ind w:firstLine="480"/>
      </w:pPr>
      <w:r>
        <w:rPr>
          <w:rFonts w:hint="eastAsia"/>
        </w:rPr>
        <w:t>岗位经常性检查发现的问题记录在记录本上，并及时通过信息系统和电话逐级上报。</w:t>
      </w:r>
    </w:p>
    <w:p>
      <w:pPr>
        <w:widowControl w:val="0"/>
        <w:ind w:firstLine="480"/>
      </w:pPr>
      <w:r>
        <w:rPr>
          <w:rFonts w:hint="eastAsia"/>
        </w:rPr>
        <w:t>对危及人身和设备安全的情况，岗位作业人员应根据操作规程、应急处置措施的规定，及时采取紧急处置措施，不需请示，处置后则立即汇报。</w:t>
      </w:r>
    </w:p>
    <w:p>
      <w:pPr>
        <w:widowControl w:val="0"/>
        <w:ind w:left="480" w:leftChars="200" w:firstLine="0" w:firstLineChars="0"/>
      </w:pPr>
      <w:r>
        <w:rPr>
          <w:rFonts w:hint="eastAsia"/>
        </w:rPr>
        <w:t>（三）季节性及节假日前后安全生产检查</w:t>
      </w:r>
    </w:p>
    <w:p>
      <w:pPr>
        <w:widowControl w:val="0"/>
        <w:ind w:firstLine="480"/>
      </w:pPr>
      <w:r>
        <w:rPr>
          <w:rFonts w:hint="eastAsia"/>
        </w:rPr>
        <w:t>由总承包项目部或工区项目部统一组织，检查内容和范围则根据季节变化，按事故发生的规律对易发的潜在危险，突出重点进行检查。如冬季防冻保温、防火、防煤气中毒，夏季防暑降温、防汛、防雷电等检查。</w:t>
      </w:r>
    </w:p>
    <w:p>
      <w:pPr>
        <w:widowControl w:val="0"/>
        <w:ind w:firstLine="480"/>
      </w:pPr>
      <w:r>
        <w:rPr>
          <w:rFonts w:hint="eastAsia"/>
        </w:rPr>
        <w:t>由于节假日（特别是重大节日，如元旦、春节、劳动节、国庆节）前后容易发生事故。因而应在节假日前后进行有针对性的安全检查。</w:t>
      </w:r>
    </w:p>
    <w:p>
      <w:pPr>
        <w:widowControl w:val="0"/>
        <w:ind w:firstLine="480"/>
      </w:pPr>
      <w:r>
        <w:rPr>
          <w:rFonts w:hint="eastAsia"/>
        </w:rPr>
        <w:t>由总承包项目部安全总监组织，安质环保部、工程部、物资设备部、综合办公室负责人参加。</w:t>
      </w:r>
    </w:p>
    <w:p>
      <w:pPr>
        <w:widowControl w:val="0"/>
        <w:ind w:left="480" w:leftChars="200" w:firstLine="0" w:firstLineChars="0"/>
      </w:pPr>
      <w:r>
        <w:rPr>
          <w:rFonts w:hint="eastAsia"/>
        </w:rPr>
        <w:t>（四）专业（项）安全生产检查</w:t>
      </w:r>
    </w:p>
    <w:p>
      <w:pPr>
        <w:widowControl w:val="0"/>
        <w:ind w:firstLine="480"/>
      </w:pPr>
      <w:r>
        <w:rPr>
          <w:rFonts w:hint="eastAsia"/>
        </w:rPr>
        <w:t>专业（项）安全生产检查是对某个专业（项）问题或在施工（生产）中存在的普遍性安全问题进行的单项定性或定量检查。</w:t>
      </w:r>
    </w:p>
    <w:p>
      <w:pPr>
        <w:widowControl w:val="0"/>
        <w:ind w:firstLine="480"/>
      </w:pPr>
      <w:r>
        <w:rPr>
          <w:rFonts w:hint="eastAsia"/>
        </w:rPr>
        <w:t>如对危险性较大的在用设备、设施，作业场所环境条件、危大工程部位或监督性定量检测检验的专业（项）安全检查。</w:t>
      </w:r>
    </w:p>
    <w:p>
      <w:pPr>
        <w:widowControl w:val="0"/>
        <w:ind w:firstLine="482"/>
      </w:pPr>
      <w:r>
        <w:rPr>
          <w:rFonts w:hint="eastAsia"/>
          <w:b/>
        </w:rPr>
        <w:t>第四条</w:t>
      </w:r>
      <w:r>
        <w:rPr>
          <w:rFonts w:hint="eastAsia"/>
        </w:rPr>
        <w:t xml:space="preserve"> 安全生产检查的内容</w:t>
      </w:r>
    </w:p>
    <w:p>
      <w:pPr>
        <w:widowControl w:val="0"/>
        <w:ind w:firstLine="480"/>
      </w:pPr>
      <w:r>
        <w:rPr>
          <w:rFonts w:hint="eastAsia"/>
        </w:rPr>
        <w:t>安全生产检查的内容包括：查思想、查意识、查制度、查管理、查事故处理、查隐患、查整改；查生产设备、查辅助设施、查安全设施、查作业环境。</w:t>
      </w:r>
    </w:p>
    <w:p>
      <w:pPr>
        <w:widowControl w:val="0"/>
        <w:ind w:firstLine="480"/>
      </w:pPr>
      <w:r>
        <w:rPr>
          <w:rFonts w:hint="eastAsia"/>
        </w:rPr>
        <w:t>安全生产检查具体内容应本着突出重点的原则进行确定。对于危险性大、易发事故、事故危害大的生产系统、部位、装置、设备等应加强检查。</w:t>
      </w:r>
    </w:p>
    <w:p>
      <w:pPr>
        <w:widowControl w:val="0"/>
        <w:ind w:firstLine="480"/>
      </w:pPr>
      <w:r>
        <w:rPr>
          <w:rFonts w:hint="eastAsia"/>
        </w:rPr>
        <w:t>（一）日常安全检查、巡查：</w:t>
      </w:r>
    </w:p>
    <w:p>
      <w:pPr>
        <w:widowControl w:val="0"/>
        <w:ind w:firstLine="480"/>
      </w:pPr>
      <w:r>
        <w:rPr>
          <w:rFonts w:hint="eastAsia"/>
        </w:rPr>
        <w:t>a、检查内容：主要是查施工现场的安全防护设施、临时用电、消防设施、机械设备、高风险施工作业、重要工序中的安全状态。检查人的不安全行为和物的不安全状态；检查违规指挥、违章作业和安全隐患，检查安全技术交底的执行情况。</w:t>
      </w:r>
    </w:p>
    <w:p>
      <w:pPr>
        <w:widowControl w:val="0"/>
        <w:ind w:firstLine="480"/>
      </w:pPr>
      <w:r>
        <w:rPr>
          <w:rFonts w:hint="eastAsia"/>
        </w:rPr>
        <w:t>b、针对发现的问题及时下发整改通知单并督促其整改。</w:t>
      </w:r>
    </w:p>
    <w:p>
      <w:pPr>
        <w:widowControl w:val="0"/>
        <w:ind w:firstLine="480"/>
      </w:pPr>
      <w:r>
        <w:rPr>
          <w:rFonts w:hint="eastAsia"/>
        </w:rPr>
        <w:t>c、高风险作业区、重大安全隐患区、危险源每天不少于两次安全巡视，加大夜间施工作业的巡查频次。</w:t>
      </w:r>
    </w:p>
    <w:p>
      <w:pPr>
        <w:widowControl w:val="0"/>
        <w:ind w:firstLine="480"/>
      </w:pPr>
      <w:r>
        <w:rPr>
          <w:rFonts w:hint="eastAsia"/>
        </w:rPr>
        <w:t>d、高风险的特殊作业，要安排专业技术人员和专职安全员实施跟班安全监控。</w:t>
      </w:r>
    </w:p>
    <w:p>
      <w:pPr>
        <w:widowControl w:val="0"/>
        <w:ind w:firstLine="480"/>
      </w:pPr>
      <w:r>
        <w:rPr>
          <w:rFonts w:hint="eastAsia"/>
        </w:rPr>
        <w:t>（二）节假日安全检查：</w:t>
      </w:r>
    </w:p>
    <w:p>
      <w:pPr>
        <w:widowControl w:val="0"/>
        <w:ind w:firstLine="480"/>
      </w:pPr>
      <w:r>
        <w:rPr>
          <w:rFonts w:hint="eastAsia"/>
        </w:rPr>
        <w:t>主要检查：重大节日（元旦、春节、清明节、五一、端午、十一等节日）主要检查生产要害部位的安全防护、施工用电、消防器材和安全保卫等内容，检查安全防范措施的落实和值班人员值班的情况。</w:t>
      </w:r>
    </w:p>
    <w:p>
      <w:pPr>
        <w:widowControl w:val="0"/>
        <w:ind w:firstLine="480"/>
      </w:pPr>
      <w:r>
        <w:rPr>
          <w:rFonts w:hint="eastAsia"/>
        </w:rPr>
        <w:t>（三）季节性检查：</w:t>
      </w:r>
    </w:p>
    <w:p>
      <w:pPr>
        <w:widowControl w:val="0"/>
        <w:ind w:firstLine="480"/>
      </w:pPr>
      <w:r>
        <w:rPr>
          <w:rFonts w:hint="eastAsia"/>
        </w:rPr>
        <w:t>主要检查：安全防护、机械设备停置、施工用电、临时设施加固、食品卫生等内容，检查防台、防汛、防暑和防冻措施的落实情况，检查施工人员安全安置、高风险作业区、安全隐患的区域、危险源等进行检查。</w:t>
      </w:r>
    </w:p>
    <w:p>
      <w:pPr>
        <w:widowControl w:val="0"/>
        <w:ind w:firstLine="480"/>
      </w:pPr>
      <w:r>
        <w:rPr>
          <w:rFonts w:hint="eastAsia"/>
        </w:rPr>
        <w:t>（四）专项安全检查：</w:t>
      </w:r>
    </w:p>
    <w:p>
      <w:pPr>
        <w:widowControl w:val="0"/>
        <w:ind w:firstLine="480"/>
      </w:pPr>
      <w:r>
        <w:rPr>
          <w:rFonts w:hint="eastAsia"/>
        </w:rPr>
        <w:t>主要检查：依据上级、业主、总包单位及监理的要求实施安全检查。</w:t>
      </w:r>
    </w:p>
    <w:p>
      <w:pPr>
        <w:widowControl w:val="0"/>
        <w:ind w:firstLine="480"/>
      </w:pPr>
      <w:r>
        <w:rPr>
          <w:rFonts w:hint="eastAsia"/>
        </w:rPr>
        <w:t>（五）定期（月、周）安全检查：</w:t>
      </w:r>
    </w:p>
    <w:p>
      <w:pPr>
        <w:widowControl w:val="0"/>
        <w:ind w:firstLine="480"/>
      </w:pPr>
      <w:r>
        <w:rPr>
          <w:rFonts w:hint="eastAsia"/>
        </w:rPr>
        <w:t>检查内容：按照检查制定的检查方案（计划）进行。</w:t>
      </w:r>
    </w:p>
    <w:p>
      <w:pPr>
        <w:widowControl w:val="0"/>
        <w:ind w:firstLine="480"/>
      </w:pPr>
      <w:r>
        <w:rPr>
          <w:rFonts w:hint="eastAsia"/>
        </w:rPr>
        <w:t>（六）班组安全检查：</w:t>
      </w:r>
    </w:p>
    <w:p>
      <w:pPr>
        <w:widowControl w:val="0"/>
        <w:ind w:firstLine="480"/>
      </w:pPr>
      <w:r>
        <w:rPr>
          <w:rFonts w:hint="eastAsia"/>
        </w:rPr>
        <w:t>a、施工前检查内容：每次施工作业前后进行安全作业条件、安全状态和作业环境检查。检查施工地点和周边的安全状态进行确认是否安全，是否已有安全技术交底，作业人员是否已经清楚施工工序和工作中存在的安全风险，是否有安全防范措施；安全防护设施是否合格，安全防护用品是否正确使用。</w:t>
      </w:r>
    </w:p>
    <w:p>
      <w:pPr>
        <w:widowControl w:val="0"/>
        <w:ind w:firstLine="480"/>
      </w:pPr>
      <w:r>
        <w:rPr>
          <w:rFonts w:hint="eastAsia"/>
        </w:rPr>
        <w:t>b、施工结束后检查内容：安全防护是否损坏，施工人员是否已全部撤离，施工机具和物料是否已清理干净。</w:t>
      </w:r>
    </w:p>
    <w:p>
      <w:pPr>
        <w:widowControl w:val="0"/>
        <w:ind w:firstLine="482"/>
      </w:pPr>
      <w:r>
        <w:rPr>
          <w:rFonts w:hint="eastAsia"/>
          <w:b/>
        </w:rPr>
        <w:t>第五条</w:t>
      </w:r>
      <w:r>
        <w:t xml:space="preserve"> </w:t>
      </w:r>
      <w:r>
        <w:rPr>
          <w:rFonts w:hint="eastAsia"/>
        </w:rPr>
        <w:t>安全生产检查的方法</w:t>
      </w:r>
    </w:p>
    <w:p>
      <w:pPr>
        <w:widowControl w:val="0"/>
        <w:ind w:firstLine="480"/>
      </w:pPr>
      <w:r>
        <w:rPr>
          <w:rFonts w:hint="eastAsia"/>
        </w:rPr>
        <w:t>（一）常规检查</w:t>
      </w:r>
    </w:p>
    <w:p>
      <w:pPr>
        <w:widowControl w:val="0"/>
        <w:ind w:firstLine="480"/>
      </w:pPr>
      <w:r>
        <w:rPr>
          <w:rFonts w:hint="eastAsia"/>
        </w:rPr>
        <w:t>由安全管理人员到作业场所现场，通过感观或辅助一定的简单工具、仪表等，对作业人员的行为、作业场所的环境条件、生产设备设施等进行的定性检查。安全检查人员通过这一手段，及时发现现场存在的</w:t>
      </w:r>
      <w:r>
        <w:rPr>
          <w:rFonts w:hint="eastAsia"/>
          <w:lang w:eastAsia="zh-CN"/>
        </w:rPr>
        <w:t>安全隐患</w:t>
      </w:r>
      <w:r>
        <w:rPr>
          <w:rFonts w:hint="eastAsia"/>
        </w:rPr>
        <w:t>并采取措施予以消除，纠正施工人员的不安全行为。</w:t>
      </w:r>
    </w:p>
    <w:p>
      <w:pPr>
        <w:widowControl w:val="0"/>
        <w:ind w:firstLine="480"/>
      </w:pPr>
      <w:r>
        <w:rPr>
          <w:rFonts w:hint="eastAsia"/>
        </w:rPr>
        <w:t>（二）安全检查表法</w:t>
      </w:r>
    </w:p>
    <w:p>
      <w:pPr>
        <w:widowControl w:val="0"/>
        <w:ind w:firstLine="480"/>
      </w:pPr>
      <w:r>
        <w:rPr>
          <w:rFonts w:hint="eastAsia"/>
        </w:rPr>
        <w:t>为使安全检查工作更加规范，将个人的行为对检查结果的影响减少到最小，应采用安全检查表法。安全检查表一般包括检查项目、检查内容、检查标准、检查结果及评价等内容，并按照住建部相关文件执行。</w:t>
      </w:r>
    </w:p>
    <w:p>
      <w:pPr>
        <w:widowControl w:val="0"/>
        <w:ind w:firstLine="482"/>
      </w:pPr>
      <w:r>
        <w:rPr>
          <w:rFonts w:hint="eastAsia"/>
          <w:b/>
        </w:rPr>
        <w:t>第六条</w:t>
      </w:r>
      <w:r>
        <w:rPr>
          <w:rFonts w:hint="eastAsia"/>
        </w:rPr>
        <w:t xml:space="preserve"> 安全生产检查的工作程序</w:t>
      </w:r>
    </w:p>
    <w:p>
      <w:pPr>
        <w:widowControl w:val="0"/>
        <w:ind w:firstLine="480"/>
      </w:pPr>
      <w:r>
        <w:rPr>
          <w:rFonts w:hint="eastAsia"/>
        </w:rPr>
        <w:t>（一）安全检查准备</w:t>
      </w:r>
    </w:p>
    <w:p>
      <w:pPr>
        <w:widowControl w:val="0"/>
        <w:ind w:firstLine="480"/>
      </w:pPr>
      <w:r>
        <w:rPr>
          <w:rFonts w:hint="eastAsia"/>
        </w:rPr>
        <w:t>安全检查准备包括以下内容：</w:t>
      </w:r>
    </w:p>
    <w:p>
      <w:pPr>
        <w:widowControl w:val="0"/>
        <w:ind w:firstLine="480"/>
      </w:pPr>
      <w:r>
        <w:rPr>
          <w:rFonts w:hint="eastAsia"/>
        </w:rPr>
        <w:t>a、确定检查对象、目的、任务；</w:t>
      </w:r>
    </w:p>
    <w:p>
      <w:pPr>
        <w:widowControl w:val="0"/>
        <w:ind w:firstLine="480"/>
      </w:pPr>
      <w:r>
        <w:rPr>
          <w:rFonts w:hint="eastAsia"/>
        </w:rPr>
        <w:t>b、查阅、掌握有关法规、标准、规程的要求；</w:t>
      </w:r>
    </w:p>
    <w:p>
      <w:pPr>
        <w:widowControl w:val="0"/>
        <w:ind w:firstLine="480"/>
      </w:pPr>
      <w:r>
        <w:rPr>
          <w:rFonts w:hint="eastAsia"/>
        </w:rPr>
        <w:t>c、了解检查对象的工艺流程、生产情况、可能出现危险和危害的情况；</w:t>
      </w:r>
    </w:p>
    <w:p>
      <w:pPr>
        <w:widowControl w:val="0"/>
        <w:ind w:firstLine="480"/>
      </w:pPr>
      <w:r>
        <w:rPr>
          <w:rFonts w:hint="eastAsia"/>
        </w:rPr>
        <w:t>d、制定检查计划，安排检查内容、方法、步骤；</w:t>
      </w:r>
    </w:p>
    <w:p>
      <w:pPr>
        <w:widowControl w:val="0"/>
        <w:ind w:firstLine="480"/>
      </w:pPr>
      <w:r>
        <w:rPr>
          <w:rFonts w:hint="eastAsia"/>
        </w:rPr>
        <w:t>e、编写安全检查表或检查提纲；</w:t>
      </w:r>
    </w:p>
    <w:p>
      <w:pPr>
        <w:widowControl w:val="0"/>
        <w:ind w:firstLine="480"/>
      </w:pPr>
      <w:r>
        <w:rPr>
          <w:rFonts w:hint="eastAsia"/>
        </w:rPr>
        <w:t>f、准备必要的检测工具、仪器、书写表格或记录本；</w:t>
      </w:r>
    </w:p>
    <w:p>
      <w:pPr>
        <w:widowControl w:val="0"/>
        <w:ind w:firstLine="480"/>
      </w:pPr>
      <w:r>
        <w:rPr>
          <w:rFonts w:hint="eastAsia"/>
        </w:rPr>
        <w:t>g、挑选和训练检查人员并进行必要的分工等。</w:t>
      </w:r>
    </w:p>
    <w:p>
      <w:pPr>
        <w:widowControl w:val="0"/>
        <w:ind w:firstLine="480"/>
      </w:pPr>
      <w:r>
        <w:rPr>
          <w:rFonts w:hint="eastAsia"/>
        </w:rPr>
        <w:t>（二）实施安全检查</w:t>
      </w:r>
    </w:p>
    <w:p>
      <w:pPr>
        <w:widowControl w:val="0"/>
        <w:ind w:firstLine="480"/>
      </w:pPr>
      <w:r>
        <w:rPr>
          <w:rFonts w:hint="eastAsia"/>
        </w:rPr>
        <w:t>实施安全检查就是通过访谈、查阅文件和记录、现场观察、仪器测量的方式获取信息，实现方式包括以下：</w:t>
      </w:r>
    </w:p>
    <w:p>
      <w:pPr>
        <w:widowControl w:val="0"/>
        <w:ind w:firstLine="480"/>
      </w:pPr>
      <w:r>
        <w:rPr>
          <w:rFonts w:hint="eastAsia"/>
        </w:rPr>
        <w:t>a、访谈。通过与有关人员谈话来检查安全意识和规章制度执行情况等；</w:t>
      </w:r>
    </w:p>
    <w:p>
      <w:pPr>
        <w:widowControl w:val="0"/>
        <w:ind w:firstLine="480"/>
      </w:pPr>
      <w:r>
        <w:rPr>
          <w:rFonts w:hint="eastAsia"/>
        </w:rPr>
        <w:t>b、查阅文件和记录。检查设计文件、作业规程、安全措施、责任制度、操作规程等是否齐全，是否有效；查阅相应记录，判断上述文件是否被执行；</w:t>
      </w:r>
    </w:p>
    <w:p>
      <w:pPr>
        <w:widowControl w:val="0"/>
        <w:ind w:firstLine="480"/>
      </w:pPr>
      <w:r>
        <w:rPr>
          <w:rFonts w:hint="eastAsia"/>
        </w:rPr>
        <w:t>c、现场观察。对作业现场的生产设备、安全防护设施、作业环境、人员操作等进行观察。寻找不安全因素、事故隐患、事故征兆等；</w:t>
      </w:r>
    </w:p>
    <w:p>
      <w:pPr>
        <w:widowControl w:val="0"/>
        <w:ind w:firstLine="480"/>
      </w:pPr>
      <w:r>
        <w:rPr>
          <w:rFonts w:hint="eastAsia"/>
        </w:rPr>
        <w:t>d、仪器测量。利用一定的检测检验仪器设备，对在用的设施、设备、器材状况及作业环境条件等进行测量，以发现隐患。</w:t>
      </w:r>
    </w:p>
    <w:p>
      <w:pPr>
        <w:widowControl w:val="0"/>
        <w:ind w:firstLine="480"/>
      </w:pPr>
      <w:r>
        <w:rPr>
          <w:rFonts w:hint="eastAsia"/>
        </w:rPr>
        <w:t>（三）综合分析</w:t>
      </w:r>
    </w:p>
    <w:p>
      <w:pPr>
        <w:widowControl w:val="0"/>
        <w:ind w:firstLine="480"/>
      </w:pPr>
      <w:r>
        <w:rPr>
          <w:rFonts w:hint="eastAsia"/>
        </w:rPr>
        <w:t>经现场检查和数据分析后，检查人员应对检查情况进行综合分析，提出检查的结论和意见。</w:t>
      </w:r>
    </w:p>
    <w:p>
      <w:pPr>
        <w:widowControl w:val="0"/>
        <w:ind w:firstLine="480"/>
      </w:pPr>
      <w:r>
        <w:rPr>
          <w:rFonts w:hint="eastAsia"/>
        </w:rPr>
        <w:t>（四）提出整政要求</w:t>
      </w:r>
    </w:p>
    <w:p>
      <w:pPr>
        <w:widowControl w:val="0"/>
        <w:ind w:firstLine="480"/>
      </w:pPr>
      <w:r>
        <w:rPr>
          <w:rFonts w:hint="eastAsia"/>
        </w:rPr>
        <w:t>针对检查发现的问题，应根据问题性质的不同，提出书面的整改要求，立即整改、限期整改等措施要求。</w:t>
      </w:r>
    </w:p>
    <w:p>
      <w:pPr>
        <w:widowControl w:val="0"/>
        <w:ind w:firstLine="480"/>
      </w:pPr>
      <w:r>
        <w:rPr>
          <w:rFonts w:hint="eastAsia"/>
        </w:rPr>
        <w:t>（五）整改落实</w:t>
      </w:r>
    </w:p>
    <w:p>
      <w:pPr>
        <w:widowControl w:val="0"/>
        <w:ind w:firstLine="480"/>
      </w:pPr>
      <w:r>
        <w:rPr>
          <w:rFonts w:hint="eastAsia"/>
        </w:rPr>
        <w:t>对安全检查发现的问题和隐患，工区项目部应制定整改措施计划、落实整改负责人，积极落实整改及时闭合并上报相关的整改资料。</w:t>
      </w:r>
    </w:p>
    <w:p>
      <w:pPr>
        <w:widowControl w:val="0"/>
        <w:ind w:firstLine="480"/>
      </w:pPr>
      <w:r>
        <w:rPr>
          <w:rFonts w:hint="eastAsia"/>
        </w:rPr>
        <w:t>（六）信息反馈及持续改进</w:t>
      </w:r>
    </w:p>
    <w:p>
      <w:pPr>
        <w:widowControl w:val="0"/>
        <w:ind w:firstLine="480"/>
      </w:pPr>
      <w:r>
        <w:rPr>
          <w:rFonts w:hint="eastAsia"/>
        </w:rPr>
        <w:t>对安全检查中经常发现的问题或反复发现的问题，工区项目部应从规章制度的健全和完善、从业人员的安全教育培训、设备系统的更新改造、加强现场检查和监督等环节入手，做到持续改进，不断提高安全生产管理水平，防范生产安全事故的发生。</w:t>
      </w:r>
    </w:p>
    <w:p>
      <w:pPr>
        <w:pStyle w:val="3"/>
        <w:widowControl w:val="0"/>
      </w:pPr>
      <w:bookmarkStart w:id="66" w:name="_Toc16615"/>
      <w:r>
        <w:rPr>
          <w:rFonts w:hint="eastAsia"/>
        </w:rPr>
        <w:t>第二章 隐患治理</w:t>
      </w:r>
      <w:bookmarkEnd w:id="66"/>
    </w:p>
    <w:p>
      <w:pPr>
        <w:widowControl w:val="0"/>
        <w:ind w:firstLine="482"/>
      </w:pPr>
      <w:r>
        <w:rPr>
          <w:rFonts w:hint="eastAsia"/>
          <w:b/>
        </w:rPr>
        <w:t>第七条</w:t>
      </w:r>
      <w:r>
        <w:rPr>
          <w:rFonts w:hint="eastAsia"/>
        </w:rPr>
        <w:t xml:space="preserve"> 定义及分类</w:t>
      </w:r>
    </w:p>
    <w:p>
      <w:pPr>
        <w:widowControl w:val="0"/>
        <w:ind w:firstLine="480"/>
      </w:pPr>
      <w:r>
        <w:rPr>
          <w:rFonts w:hint="eastAsia"/>
        </w:rPr>
        <w:t>《安全生产事故隐患排查治理暂行规定》（总局令第16号）指出，安全生产事故隐患(以下简称事故隐患)，是指生产经营单位违反安全生产法律、法规、规章、标准、规程和安全生产管理制度的规定，或者因其他因素在生产经营活动中存在可能导致事故发生的物的危险状态、人的不安全行为和管理上的缺陷。</w:t>
      </w:r>
    </w:p>
    <w:p>
      <w:pPr>
        <w:widowControl w:val="0"/>
        <w:ind w:firstLine="480"/>
      </w:pPr>
      <w:r>
        <w:rPr>
          <w:rFonts w:hint="eastAsia"/>
        </w:rPr>
        <w:t>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w:t>
      </w:r>
    </w:p>
    <w:p>
      <w:pPr>
        <w:widowControl w:val="0"/>
        <w:ind w:firstLine="482"/>
      </w:pPr>
      <w:r>
        <w:rPr>
          <w:rFonts w:hint="eastAsia"/>
          <w:b/>
        </w:rPr>
        <w:t>第八条</w:t>
      </w:r>
      <w:r>
        <w:rPr>
          <w:rFonts w:hint="eastAsia"/>
        </w:rPr>
        <w:t xml:space="preserve"> 工区项目部主要职责</w:t>
      </w:r>
    </w:p>
    <w:p>
      <w:pPr>
        <w:widowControl w:val="0"/>
        <w:ind w:firstLine="480"/>
      </w:pPr>
      <w:r>
        <w:rPr>
          <w:rFonts w:hint="eastAsia"/>
        </w:rPr>
        <w:t>（一）工区项目部是事故隐患排查、治理和防控的责任主体；</w:t>
      </w:r>
    </w:p>
    <w:p>
      <w:pPr>
        <w:widowControl w:val="0"/>
        <w:ind w:firstLine="480"/>
      </w:pPr>
      <w:r>
        <w:rPr>
          <w:rFonts w:hint="eastAsia"/>
        </w:rPr>
        <w:t>（二）应当建立健全事故隐患排查治理和建档监控等制度，逐级建立并落实从主要负责人到每个从业人员的隐患排查治理和监控责任制；</w:t>
      </w:r>
    </w:p>
    <w:p>
      <w:pPr>
        <w:widowControl w:val="0"/>
        <w:ind w:firstLine="480"/>
      </w:pPr>
      <w:r>
        <w:rPr>
          <w:rFonts w:hint="eastAsia"/>
        </w:rPr>
        <w:t>（三）应当保证事故隐患排查治理所需的资金，建立资金使用专项制度；</w:t>
      </w:r>
    </w:p>
    <w:p>
      <w:pPr>
        <w:widowControl w:val="0"/>
        <w:ind w:firstLine="480"/>
      </w:pPr>
      <w:r>
        <w:rPr>
          <w:rFonts w:hint="eastAsia"/>
        </w:rPr>
        <w:t>（四）应当定期组织安全生产管理人员、工程技术人员和其他相关人员排查本单位的事故隐患。对排查出的事故隐患，应当按照事故隐患的等级进行登记，建立事故隐患信息档案，并按照职责分工实施监控治理；</w:t>
      </w:r>
    </w:p>
    <w:p>
      <w:pPr>
        <w:widowControl w:val="0"/>
        <w:ind w:firstLine="480"/>
      </w:pPr>
      <w:r>
        <w:rPr>
          <w:rFonts w:hint="eastAsia"/>
        </w:rPr>
        <w:t>（五）应当建立事故隐患报告和举报奖励制度，鼓励、发动职工发现和排除事故隐患，鼓励社会公众举报。对发现、排除和举报事故隐患的有功人员，应当给予物质奖励和表彰；</w:t>
      </w:r>
    </w:p>
    <w:p>
      <w:pPr>
        <w:widowControl w:val="0"/>
        <w:ind w:firstLine="480"/>
      </w:pPr>
      <w:r>
        <w:rPr>
          <w:rFonts w:hint="eastAsia"/>
        </w:rPr>
        <w:t>（六）安全监管监察部门和有关部门的监督检查人员依法履行事故隐患监督检查职责时，工区项目部应当积极配合，不得拒绝和阻挠。</w:t>
      </w:r>
    </w:p>
    <w:p>
      <w:pPr>
        <w:widowControl w:val="0"/>
        <w:ind w:firstLine="482"/>
      </w:pPr>
      <w:r>
        <w:rPr>
          <w:rFonts w:hint="eastAsia"/>
          <w:b/>
        </w:rPr>
        <w:t>第九条</w:t>
      </w:r>
      <w:r>
        <w:rPr>
          <w:rFonts w:hint="eastAsia"/>
        </w:rPr>
        <w:t xml:space="preserve"> 隐患整改治理</w:t>
      </w:r>
    </w:p>
    <w:p>
      <w:pPr>
        <w:widowControl w:val="0"/>
        <w:ind w:firstLine="480"/>
      </w:pPr>
      <w:r>
        <w:rPr>
          <w:rFonts w:hint="eastAsia"/>
        </w:rPr>
        <w:t>（一）对于检查中发现的安全问题：违章指挥、违规作业行为，检查人员必须当场指出，并填写检查记录，和整改通知书，要求受检单位立即进行纠正。</w:t>
      </w:r>
    </w:p>
    <w:p>
      <w:pPr>
        <w:widowControl w:val="0"/>
        <w:ind w:firstLine="480"/>
      </w:pPr>
      <w:r>
        <w:rPr>
          <w:rFonts w:hint="eastAsia"/>
        </w:rPr>
        <w:t>（二）对检查出的安全隐患，按照“五定”（即定责任人、定时间、定措施、定标准、定验收人）原则制定整改措施，并落实整改。</w:t>
      </w:r>
    </w:p>
    <w:p>
      <w:pPr>
        <w:widowControl w:val="0"/>
        <w:ind w:firstLine="480"/>
      </w:pPr>
      <w:r>
        <w:rPr>
          <w:rFonts w:hint="eastAsia"/>
        </w:rPr>
        <w:t>（三）安全检查人员按照整改措施，对现场安全隐患整改结果实施跟踪验证。</w:t>
      </w:r>
    </w:p>
    <w:p>
      <w:pPr>
        <w:widowControl w:val="0"/>
        <w:ind w:firstLine="480"/>
      </w:pPr>
      <w:r>
        <w:rPr>
          <w:rFonts w:hint="eastAsia"/>
        </w:rPr>
        <w:t>（四）业主、监理及地方政府以及公司上级部门的安全检查，工区项目部要召开安全专题会议，安排专人负责落实整改，按制度时间将整改结果上报检查单位。</w:t>
      </w:r>
      <w:bookmarkStart w:id="67" w:name="_Toc517516696"/>
    </w:p>
    <w:p>
      <w:pPr>
        <w:pStyle w:val="3"/>
        <w:widowControl w:val="0"/>
      </w:pPr>
      <w:r>
        <w:rPr>
          <w:rFonts w:hint="eastAsia"/>
        </w:rPr>
        <w:t>第三章 附则</w:t>
      </w:r>
    </w:p>
    <w:p>
      <w:pPr>
        <w:widowControl w:val="0"/>
        <w:ind w:firstLine="482"/>
        <w:rPr>
          <w:rFonts w:asciiTheme="minorEastAsia" w:hAnsiTheme="minorEastAsia"/>
        </w:rPr>
      </w:pPr>
      <w:r>
        <w:rPr>
          <w:rFonts w:hint="eastAsia" w:asciiTheme="minorEastAsia" w:hAnsiTheme="minorEastAsia"/>
          <w:b/>
        </w:rPr>
        <w:t xml:space="preserve">第十条 </w:t>
      </w:r>
      <w:r>
        <w:rPr>
          <w:rFonts w:hint="eastAsia" w:asciiTheme="minorEastAsia" w:hAnsiTheme="minorEastAsia"/>
        </w:rPr>
        <w:t>本制度由安质环保部负责解释及修订。</w:t>
      </w:r>
    </w:p>
    <w:p>
      <w:pPr>
        <w:widowControl w:val="0"/>
        <w:ind w:firstLine="482"/>
        <w:rPr>
          <w:rFonts w:asciiTheme="minorEastAsia" w:hAnsiTheme="minorEastAsia"/>
        </w:rPr>
      </w:pPr>
      <w:r>
        <w:rPr>
          <w:rFonts w:hint="eastAsia" w:asciiTheme="minorEastAsia" w:hAnsiTheme="minorEastAsia"/>
          <w:b/>
        </w:rPr>
        <w:t>第十一条</w:t>
      </w:r>
      <w:r>
        <w:rPr>
          <w:rFonts w:hint="eastAsia" w:asciiTheme="minorEastAsia" w:hAnsiTheme="minorEastAsia"/>
        </w:rPr>
        <w:t xml:space="preserve"> 本制度自发布之日起实施。</w:t>
      </w:r>
    </w:p>
    <w:p>
      <w:pPr>
        <w:ind w:firstLine="480"/>
      </w:pPr>
    </w:p>
    <w:p>
      <w:pPr>
        <w:widowControl w:val="0"/>
        <w:ind w:firstLine="480"/>
      </w:pPr>
      <w:r>
        <w:rPr>
          <w:rFonts w:hint="eastAsia"/>
        </w:rPr>
        <w:br w:type="page"/>
      </w:r>
    </w:p>
    <w:p>
      <w:pPr>
        <w:pStyle w:val="2"/>
      </w:pPr>
      <w:bookmarkStart w:id="68" w:name="_Toc2742"/>
      <w:bookmarkStart w:id="69" w:name="_Toc14138"/>
      <w:r>
        <w:rPr>
          <w:rFonts w:hint="eastAsia"/>
        </w:rPr>
        <w:t>六、安全技术交底制度</w:t>
      </w:r>
      <w:bookmarkEnd w:id="67"/>
      <w:bookmarkEnd w:id="68"/>
      <w:bookmarkEnd w:id="69"/>
    </w:p>
    <w:p>
      <w:pPr>
        <w:widowControl w:val="0"/>
        <w:ind w:firstLine="482"/>
      </w:pPr>
      <w:r>
        <w:rPr>
          <w:rFonts w:hint="eastAsia"/>
          <w:b/>
        </w:rPr>
        <w:t>第一条</w:t>
      </w:r>
      <w:r>
        <w:rPr>
          <w:rFonts w:hint="eastAsia"/>
        </w:rPr>
        <w:t xml:space="preserve"> 为了规范苏州中车建设工程有限公司台州市域铁路S1线一期PPP项目工程总承包项目部（以下简称“总承包项目部”）安全技术交底工作，结合总承包项目部的实际情况，制定本制度。</w:t>
      </w:r>
    </w:p>
    <w:p>
      <w:pPr>
        <w:widowControl w:val="0"/>
        <w:ind w:firstLine="482"/>
      </w:pPr>
      <w:r>
        <w:rPr>
          <w:rFonts w:hint="eastAsia"/>
          <w:b/>
        </w:rPr>
        <w:t>第二条</w:t>
      </w:r>
      <w:r>
        <w:rPr>
          <w:rFonts w:hint="eastAsia"/>
        </w:rPr>
        <w:t xml:space="preserve"> 工程开工前，由总承包项目部技术负责人组织技术人员编制安全技术交底，安质环保部参与交底过程。安全技术</w:t>
      </w:r>
      <w:r>
        <w:t>交底的主要内容为：建设单位对安全生产的有关要求，项目安全管理规章制度，重大危险源及控制要点</w:t>
      </w:r>
      <w:r>
        <w:rPr>
          <w:rFonts w:hint="eastAsia"/>
        </w:rPr>
        <w:t>及措施</w:t>
      </w:r>
      <w:r>
        <w:t>等。</w:t>
      </w:r>
    </w:p>
    <w:p>
      <w:pPr>
        <w:widowControl w:val="0"/>
        <w:ind w:firstLine="482"/>
      </w:pPr>
      <w:r>
        <w:rPr>
          <w:rFonts w:hint="eastAsia"/>
          <w:b/>
        </w:rPr>
        <w:t>第三条</w:t>
      </w:r>
      <w:r>
        <w:rPr>
          <w:rFonts w:hint="eastAsia"/>
        </w:rPr>
        <w:t xml:space="preserve"> 工区项目部技术负责人</w:t>
      </w:r>
      <w:r>
        <w:t>要根据交底要求，针对项目施工任务进行重新编制安全技术交底，</w:t>
      </w:r>
      <w:r>
        <w:rPr>
          <w:rFonts w:hint="eastAsia"/>
        </w:rPr>
        <w:t>分级</w:t>
      </w:r>
      <w:r>
        <w:t>对现场操作人员有针对性的进行班前作业安全交底。</w:t>
      </w:r>
    </w:p>
    <w:p>
      <w:pPr>
        <w:widowControl w:val="0"/>
        <w:ind w:firstLine="482"/>
      </w:pPr>
      <w:r>
        <w:rPr>
          <w:rFonts w:hint="eastAsia"/>
          <w:b/>
        </w:rPr>
        <w:t>第四条</w:t>
      </w:r>
      <w:r>
        <w:rPr>
          <w:rFonts w:hint="eastAsia"/>
        </w:rPr>
        <w:t xml:space="preserve"> </w:t>
      </w:r>
      <w:r>
        <w:t>安全技术交底应全面准确、针对性强，符合有关安全技术操作规程的规定；安全技术交底要经交底人与接受交底人签字方能生效；交底字迹要清晰，必须由本人签字，不得代签。</w:t>
      </w:r>
    </w:p>
    <w:p>
      <w:pPr>
        <w:widowControl w:val="0"/>
        <w:ind w:firstLine="482"/>
      </w:pPr>
      <w:r>
        <w:rPr>
          <w:rFonts w:hint="eastAsia"/>
          <w:b/>
        </w:rPr>
        <w:t>第五条</w:t>
      </w:r>
      <w:r>
        <w:rPr>
          <w:rFonts w:hint="eastAsia"/>
        </w:rPr>
        <w:t xml:space="preserve"> </w:t>
      </w:r>
      <w:r>
        <w:t>安全技术交底后，</w:t>
      </w:r>
      <w:r>
        <w:rPr>
          <w:rFonts w:hint="eastAsia"/>
        </w:rPr>
        <w:t>总承包项目部和各工区项目部各级</w:t>
      </w:r>
      <w:r>
        <w:t>管理人员，要对技术交底的落实情况进行检查，</w:t>
      </w:r>
      <w:r>
        <w:rPr>
          <w:rFonts w:hint="eastAsia"/>
        </w:rPr>
        <w:t>现场专职安全人员要</w:t>
      </w:r>
      <w:r>
        <w:t>监督操作人员严格按照交底要求进行施工，制止违章作业现象，并做好记录。</w:t>
      </w:r>
    </w:p>
    <w:p>
      <w:pPr>
        <w:widowControl w:val="0"/>
        <w:ind w:firstLine="482"/>
      </w:pPr>
      <w:r>
        <w:rPr>
          <w:rFonts w:hint="eastAsia"/>
          <w:b/>
        </w:rPr>
        <w:t>第六条</w:t>
      </w:r>
      <w:r>
        <w:rPr>
          <w:rFonts w:hint="eastAsia"/>
        </w:rPr>
        <w:t xml:space="preserve"> </w:t>
      </w:r>
      <w:r>
        <w:t>安全技术交底的具体要求内容为：</w:t>
      </w:r>
    </w:p>
    <w:p>
      <w:pPr>
        <w:widowControl w:val="0"/>
        <w:ind w:firstLine="480"/>
      </w:pPr>
      <w:r>
        <w:rPr>
          <w:rFonts w:hint="eastAsia"/>
        </w:rPr>
        <w:t>（一）根据施工工程的结构特点，针对不同的施工方法和施工工艺制定相应的安全技术措施；</w:t>
      </w:r>
    </w:p>
    <w:p>
      <w:pPr>
        <w:widowControl w:val="0"/>
        <w:ind w:firstLine="480"/>
      </w:pPr>
      <w:r>
        <w:rPr>
          <w:rFonts w:hint="eastAsia"/>
        </w:rPr>
        <w:t>（二）针对使用的各种机械设备、用电设备可能给施工人员带来的危险因素，从安全保险装置、限位装置等方面采取安全技术措施；</w:t>
      </w:r>
    </w:p>
    <w:p>
      <w:pPr>
        <w:widowControl w:val="0"/>
        <w:ind w:firstLine="480"/>
      </w:pPr>
      <w:r>
        <w:rPr>
          <w:rFonts w:hint="eastAsia"/>
        </w:rPr>
        <w:t>（三）针对施工中有毒、有害、易燃等作业可能给施工人员造成的危害，制定相应的防范措施；</w:t>
      </w:r>
    </w:p>
    <w:p>
      <w:pPr>
        <w:widowControl w:val="0"/>
        <w:ind w:firstLine="480"/>
      </w:pPr>
      <w:r>
        <w:rPr>
          <w:rFonts w:hint="eastAsia"/>
        </w:rPr>
        <w:t>（四）针对施工人员的素质，编制行之有效的来约束人的不安全行为安全技术措施；</w:t>
      </w:r>
    </w:p>
    <w:p>
      <w:pPr>
        <w:widowControl w:val="0"/>
        <w:ind w:firstLine="480"/>
      </w:pPr>
      <w:r>
        <w:rPr>
          <w:rFonts w:hint="eastAsia"/>
        </w:rPr>
        <w:t>（五）针对季节性施工的特点，制定相应的安全技术措施；</w:t>
      </w:r>
    </w:p>
    <w:p>
      <w:pPr>
        <w:widowControl w:val="0"/>
        <w:ind w:firstLine="480"/>
      </w:pPr>
      <w:r>
        <w:rPr>
          <w:rFonts w:hint="eastAsia"/>
        </w:rPr>
        <w:t>（六）针对材料、设备运输的困难和不安全因素，制定相应的安全技术措施等；</w:t>
      </w:r>
    </w:p>
    <w:p>
      <w:pPr>
        <w:widowControl w:val="0"/>
        <w:ind w:firstLine="480"/>
      </w:pPr>
      <w:r>
        <w:rPr>
          <w:rFonts w:hint="eastAsia"/>
        </w:rPr>
        <w:t>（七）根据项目施工要求，编制的一般工程安全技术措施、特殊工程安全技术措施、季节性施工安全措施等。</w:t>
      </w:r>
    </w:p>
    <w:p>
      <w:pPr>
        <w:widowControl w:val="0"/>
        <w:ind w:firstLine="482"/>
      </w:pPr>
      <w:r>
        <w:rPr>
          <w:rFonts w:hint="eastAsia"/>
          <w:b/>
        </w:rPr>
        <w:t>第七条</w:t>
      </w:r>
      <w:r>
        <w:rPr>
          <w:rFonts w:hint="eastAsia"/>
        </w:rPr>
        <w:t xml:space="preserve"> </w:t>
      </w:r>
      <w:r>
        <w:t>班组长利用每日开工前以安全例会形式口头对当日施工人员进行交底，各班组长均应将口头交底内容和参加例会人员名单记录生产日志备查。</w:t>
      </w:r>
    </w:p>
    <w:p>
      <w:pPr>
        <w:widowControl w:val="0"/>
        <w:ind w:firstLine="482"/>
      </w:pPr>
      <w:r>
        <w:rPr>
          <w:rFonts w:hint="eastAsia"/>
          <w:b/>
        </w:rPr>
        <w:t>第八条</w:t>
      </w:r>
      <w:r>
        <w:rPr>
          <w:rFonts w:hint="eastAsia"/>
        </w:rPr>
        <w:t xml:space="preserve"> </w:t>
      </w:r>
      <w:r>
        <w:t>各施工班组及各工种在没有安全技术交底前有权拒绝上岗，凡强迫员工上班者，视情节轻重，严肃查处。</w:t>
      </w:r>
    </w:p>
    <w:p>
      <w:pPr>
        <w:widowControl w:val="0"/>
        <w:ind w:firstLine="482"/>
      </w:pPr>
      <w:r>
        <w:rPr>
          <w:rFonts w:hint="eastAsia"/>
          <w:b/>
        </w:rPr>
        <w:t>第九条</w:t>
      </w:r>
      <w:r>
        <w:rPr>
          <w:rFonts w:hint="eastAsia"/>
        </w:rPr>
        <w:t xml:space="preserve"> </w:t>
      </w:r>
      <w:r>
        <w:t>固定场所工种可定期交底，非固定作业场所工种可按每一分部工程或定期交底，新进场工人（班组）必须培训、交底后再上岗。</w:t>
      </w:r>
    </w:p>
    <w:p>
      <w:pPr>
        <w:widowControl w:val="0"/>
        <w:ind w:firstLine="482"/>
      </w:pPr>
      <w:r>
        <w:rPr>
          <w:rFonts w:hint="eastAsia"/>
          <w:b/>
        </w:rPr>
        <w:t>第十条</w:t>
      </w:r>
      <w:r>
        <w:rPr>
          <w:rFonts w:hint="eastAsia"/>
        </w:rPr>
        <w:t xml:space="preserve"> 在施工过程中，设计发生变更时，安全技术交底必须及时变更或做补充，施工条件发生变化时必须及时变更安全技术交底内容。</w:t>
      </w:r>
    </w:p>
    <w:p>
      <w:pPr>
        <w:widowControl w:val="0"/>
        <w:spacing w:line="240" w:lineRule="auto"/>
        <w:ind w:firstLine="0" w:firstLineChars="0"/>
        <w:jc w:val="left"/>
        <w:rPr>
          <w:b/>
          <w:sz w:val="32"/>
          <w:szCs w:val="22"/>
        </w:rPr>
      </w:pPr>
      <w:r>
        <w:br w:type="page"/>
      </w:r>
    </w:p>
    <w:p>
      <w:pPr>
        <w:pStyle w:val="2"/>
      </w:pPr>
      <w:bookmarkStart w:id="70" w:name="_Toc13183"/>
      <w:bookmarkStart w:id="71" w:name="_Toc16076"/>
      <w:bookmarkStart w:id="72" w:name="_Toc517516697"/>
      <w:r>
        <w:rPr>
          <w:rFonts w:hint="eastAsia"/>
        </w:rPr>
        <w:t>七、生产安全事故报告处理制度</w:t>
      </w:r>
      <w:bookmarkEnd w:id="70"/>
      <w:bookmarkEnd w:id="71"/>
      <w:bookmarkEnd w:id="72"/>
    </w:p>
    <w:p>
      <w:pPr>
        <w:pStyle w:val="3"/>
        <w:widowControl w:val="0"/>
      </w:pPr>
      <w:bookmarkStart w:id="73" w:name="_Toc11105"/>
      <w:bookmarkStart w:id="74" w:name="_Toc6993"/>
      <w:bookmarkStart w:id="75" w:name="_Toc13598"/>
      <w:bookmarkStart w:id="76" w:name="_Toc517516698"/>
      <w:r>
        <w:rPr>
          <w:rFonts w:hint="eastAsia"/>
        </w:rPr>
        <w:t>第一章 总则</w:t>
      </w:r>
      <w:bookmarkEnd w:id="73"/>
      <w:bookmarkEnd w:id="74"/>
      <w:bookmarkEnd w:id="75"/>
    </w:p>
    <w:p>
      <w:pPr>
        <w:widowControl w:val="0"/>
        <w:ind w:firstLine="482"/>
        <w:rPr>
          <w:rFonts w:ascii="宋体" w:hAnsi="宋体" w:eastAsia="宋体"/>
          <w:bCs/>
        </w:rPr>
      </w:pPr>
      <w:r>
        <w:rPr>
          <w:rFonts w:hint="eastAsia" w:ascii="宋体" w:hAnsi="宋体" w:eastAsia="宋体"/>
          <w:b/>
        </w:rPr>
        <w:t>第一条</w:t>
      </w:r>
      <w:r>
        <w:rPr>
          <w:rFonts w:hint="eastAsia" w:ascii="宋体" w:hAnsi="宋体" w:eastAsia="宋体"/>
          <w:bCs/>
        </w:rPr>
        <w:t xml:space="preserve"> </w:t>
      </w:r>
      <w:bookmarkStart w:id="77" w:name="_Hlk525279754"/>
      <w:r>
        <w:rPr>
          <w:rFonts w:hint="eastAsia" w:ascii="宋体" w:hAnsi="宋体" w:eastAsia="宋体"/>
          <w:bCs/>
        </w:rPr>
        <w:t>为了规范苏州中车建设工程有限公司台州市域铁路</w:t>
      </w:r>
      <w:r>
        <w:rPr>
          <w:rFonts w:hint="eastAsia"/>
        </w:rPr>
        <w:t>S1</w:t>
      </w:r>
      <w:r>
        <w:rPr>
          <w:rFonts w:hint="eastAsia" w:ascii="宋体" w:hAnsi="宋体" w:eastAsia="宋体"/>
          <w:bCs/>
        </w:rPr>
        <w:t>线一期</w:t>
      </w:r>
      <w:r>
        <w:rPr>
          <w:rFonts w:hint="eastAsia"/>
        </w:rPr>
        <w:t>PPP</w:t>
      </w:r>
      <w:r>
        <w:rPr>
          <w:rFonts w:hint="eastAsia" w:ascii="宋体" w:hAnsi="宋体" w:eastAsia="宋体"/>
          <w:bCs/>
        </w:rPr>
        <w:t>项目工程总承包项目部（以下简称“总承包项目部”）</w:t>
      </w:r>
      <w:bookmarkEnd w:id="77"/>
      <w:r>
        <w:rPr>
          <w:rFonts w:hint="eastAsia" w:ascii="宋体" w:hAnsi="宋体" w:eastAsia="宋体"/>
          <w:bCs/>
        </w:rPr>
        <w:t>生产安全事故的报告、调查和处理工作流程，有效防止事故（或事件）扩大，减少负面影响，降低员工及相关人员的生命安全风险，最大限度地减少经济及其他损失，及时报告、统计、调查并妥善处理生产安全事故，落实生产安全事故的责任追究制度，依据《中华人民共和国安全生产法</w:t>
      </w:r>
      <w:r>
        <w:rPr>
          <w:rFonts w:hint="eastAsia"/>
        </w:rPr>
        <w:t>》、《</w:t>
      </w:r>
      <w:r>
        <w:rPr>
          <w:rFonts w:hint="eastAsia" w:ascii="宋体" w:hAnsi="宋体" w:eastAsia="宋体"/>
          <w:bCs/>
        </w:rPr>
        <w:t>生产安全事故报告和调查处理条例》、《中央企业安全生产监督管理暂行办法》等有关法律、法规、规定及标准，结合总承包项目部的实际情况，制定本制度。</w:t>
      </w:r>
    </w:p>
    <w:p>
      <w:pPr>
        <w:widowControl w:val="0"/>
        <w:ind w:firstLine="482"/>
        <w:rPr>
          <w:rFonts w:ascii="宋体" w:hAnsi="宋体" w:eastAsia="宋体"/>
          <w:bCs/>
        </w:rPr>
      </w:pPr>
      <w:r>
        <w:rPr>
          <w:rFonts w:hint="eastAsia" w:ascii="宋体" w:hAnsi="宋体" w:eastAsia="宋体"/>
          <w:b/>
        </w:rPr>
        <w:t>第二条</w:t>
      </w:r>
      <w:r>
        <w:rPr>
          <w:rFonts w:hint="eastAsia" w:ascii="宋体" w:hAnsi="宋体" w:eastAsia="宋体"/>
          <w:bCs/>
        </w:rPr>
        <w:t xml:space="preserve"> 凡总承包项目部范围内发生生产安全事故、事件（包括自然、社会突发事件），适用于本制度。</w:t>
      </w:r>
    </w:p>
    <w:p>
      <w:pPr>
        <w:widowControl w:val="0"/>
        <w:ind w:firstLine="482"/>
        <w:rPr>
          <w:rFonts w:ascii="宋体" w:hAnsi="宋体" w:eastAsia="宋体"/>
          <w:bCs/>
        </w:rPr>
      </w:pPr>
      <w:r>
        <w:rPr>
          <w:rFonts w:hint="eastAsia" w:ascii="宋体" w:hAnsi="宋体" w:eastAsia="宋体"/>
          <w:b/>
        </w:rPr>
        <w:t>第三条</w:t>
      </w:r>
      <w:r>
        <w:rPr>
          <w:rFonts w:hint="eastAsia" w:ascii="宋体" w:hAnsi="宋体" w:eastAsia="宋体"/>
          <w:bCs/>
        </w:rPr>
        <w:t xml:space="preserve"> 事故分类与分级：</w:t>
      </w:r>
    </w:p>
    <w:p>
      <w:pPr>
        <w:widowControl w:val="0"/>
        <w:ind w:firstLine="480"/>
        <w:rPr>
          <w:rFonts w:ascii="宋体" w:hAnsi="宋体" w:eastAsia="宋体"/>
          <w:bCs/>
        </w:rPr>
      </w:pPr>
      <w:r>
        <w:rPr>
          <w:rFonts w:hint="eastAsia" w:ascii="宋体" w:hAnsi="宋体" w:eastAsia="宋体"/>
          <w:bCs/>
        </w:rPr>
        <w:t>根据事故人员伤害严重程度，事故分为轻伤事故、重伤事故、死亡事故。</w:t>
      </w:r>
    </w:p>
    <w:p>
      <w:pPr>
        <w:widowControl w:val="0"/>
        <w:ind w:firstLine="480"/>
        <w:rPr>
          <w:rFonts w:ascii="宋体" w:hAnsi="宋体" w:eastAsia="宋体"/>
          <w:bCs/>
        </w:rPr>
      </w:pPr>
      <w:r>
        <w:rPr>
          <w:rFonts w:hint="eastAsia" w:ascii="宋体" w:hAnsi="宋体" w:eastAsia="宋体"/>
          <w:bCs/>
        </w:rPr>
        <w:t>根据事故造成的人员伤亡或者直接经济损失，事故分为一般事故、较大事故、重大事故、</w:t>
      </w:r>
      <w:r>
        <w:fldChar w:fldCharType="begin"/>
      </w:r>
      <w:r>
        <w:instrText xml:space="preserve"> HYPERLINK "http://baike.baidu.com/view/2455608.htm" \t "_blank" </w:instrText>
      </w:r>
      <w:r>
        <w:fldChar w:fldCharType="separate"/>
      </w:r>
      <w:r>
        <w:rPr>
          <w:rFonts w:hint="eastAsia" w:ascii="宋体" w:hAnsi="宋体" w:eastAsia="宋体"/>
          <w:bCs/>
        </w:rPr>
        <w:t>特别重大事故</w:t>
      </w:r>
      <w:r>
        <w:rPr>
          <w:rFonts w:hint="eastAsia" w:ascii="宋体" w:hAnsi="宋体" w:eastAsia="宋体"/>
          <w:bCs/>
        </w:rPr>
        <w:fldChar w:fldCharType="end"/>
      </w:r>
      <w:r>
        <w:rPr>
          <w:rFonts w:hint="eastAsia" w:ascii="宋体" w:hAnsi="宋体" w:eastAsia="宋体"/>
          <w:bCs/>
        </w:rPr>
        <w:t>四个等级。</w:t>
      </w:r>
    </w:p>
    <w:p>
      <w:pPr>
        <w:pStyle w:val="3"/>
        <w:widowControl w:val="0"/>
      </w:pPr>
      <w:bookmarkStart w:id="78" w:name="_Toc28588"/>
      <w:bookmarkStart w:id="79" w:name="_Toc28075"/>
      <w:bookmarkStart w:id="80" w:name="_Toc7769"/>
      <w:r>
        <w:rPr>
          <w:rFonts w:hint="eastAsia"/>
        </w:rPr>
        <w:t>第二章 事故报告</w:t>
      </w:r>
      <w:bookmarkEnd w:id="78"/>
      <w:bookmarkEnd w:id="79"/>
      <w:bookmarkEnd w:id="80"/>
    </w:p>
    <w:p>
      <w:pPr>
        <w:widowControl w:val="0"/>
        <w:ind w:firstLine="482"/>
        <w:rPr>
          <w:rFonts w:ascii="宋体" w:hAnsi="宋体" w:eastAsia="宋体"/>
          <w:bCs/>
        </w:rPr>
      </w:pPr>
      <w:r>
        <w:rPr>
          <w:rFonts w:hint="eastAsia" w:ascii="宋体" w:hAnsi="宋体" w:eastAsia="宋体"/>
          <w:b/>
        </w:rPr>
        <w:t>第四条</w:t>
      </w:r>
      <w:r>
        <w:rPr>
          <w:rFonts w:hint="eastAsia" w:ascii="宋体" w:hAnsi="宋体" w:eastAsia="宋体"/>
          <w:bCs/>
        </w:rPr>
        <w:t xml:space="preserve"> 事故（或事件）发生后，报告必须及时、准确、完整，任何单位和个人对事故不得迟报、漏报、谎报或者隐瞒不报。</w:t>
      </w:r>
    </w:p>
    <w:p>
      <w:pPr>
        <w:widowControl w:val="0"/>
        <w:ind w:firstLine="482"/>
        <w:rPr>
          <w:rFonts w:ascii="宋体" w:hAnsi="宋体" w:eastAsia="宋体"/>
          <w:bCs/>
        </w:rPr>
      </w:pPr>
      <w:r>
        <w:rPr>
          <w:rFonts w:hint="eastAsia" w:ascii="宋体" w:hAnsi="宋体" w:eastAsia="宋体"/>
          <w:b/>
        </w:rPr>
        <w:t>第五条</w:t>
      </w:r>
      <w:r>
        <w:rPr>
          <w:rFonts w:hint="eastAsia" w:ascii="宋体" w:hAnsi="宋体" w:eastAsia="宋体"/>
          <w:bCs/>
        </w:rPr>
        <w:t xml:space="preserve"> 事故（或事件）报告，按照“分级管理、分类上报、逐级上报”原则进行上报，同时采取有效措施，组织抢救，防止事故扩大，减少人员伤亡和财产损失。</w:t>
      </w:r>
    </w:p>
    <w:p>
      <w:pPr>
        <w:widowControl w:val="0"/>
        <w:ind w:firstLine="480"/>
        <w:rPr>
          <w:rFonts w:ascii="宋体" w:hAnsi="宋体" w:eastAsia="宋体"/>
          <w:bCs/>
          <w:color w:val="ED7D31" w:themeColor="accent2"/>
          <w14:textFill>
            <w14:solidFill>
              <w14:schemeClr w14:val="accent2"/>
            </w14:solidFill>
          </w14:textFill>
        </w:rPr>
      </w:pPr>
      <w:r>
        <w:rPr>
          <w:rFonts w:hint="eastAsia" w:ascii="宋体" w:hAnsi="宋体" w:eastAsia="宋体"/>
          <w:bCs/>
        </w:rPr>
        <w:t>（一）事故（或事件）发生后，事发现场有关人员应当立即向工区项目部/部门负责人报告；工区项目部/部门负责人接到事故信息应立即向总承包项目部负责人报告；总承包项目部负责人接到报告后，应立即向台州台中轨道交通有限公司（以下简称“项目公司</w:t>
      </w:r>
      <w:r>
        <w:rPr>
          <w:rFonts w:ascii="宋体" w:hAnsi="宋体" w:eastAsia="宋体"/>
          <w:bCs/>
        </w:rPr>
        <w:t>”</w:t>
      </w:r>
      <w:r>
        <w:rPr>
          <w:rFonts w:hint="eastAsia" w:ascii="宋体" w:hAnsi="宋体" w:eastAsia="宋体"/>
          <w:bCs/>
        </w:rPr>
        <w:t>）负责人及苏州中车建设工程有限公司负责人报告。</w:t>
      </w:r>
    </w:p>
    <w:p>
      <w:pPr>
        <w:widowControl w:val="0"/>
        <w:ind w:firstLine="480"/>
        <w:rPr>
          <w:rFonts w:ascii="宋体" w:hAnsi="宋体" w:eastAsia="宋体"/>
          <w:bCs/>
        </w:rPr>
      </w:pPr>
      <w:r>
        <w:rPr>
          <w:rFonts w:hint="eastAsia" w:ascii="宋体" w:hAnsi="宋体" w:eastAsia="宋体"/>
          <w:bCs/>
        </w:rPr>
        <w:t>（二）</w:t>
      </w:r>
      <w:r>
        <w:rPr>
          <w:rFonts w:hint="eastAsia" w:ascii="宋体" w:hAnsi="宋体" w:cs="宋体"/>
          <w:kern w:val="0"/>
        </w:rPr>
        <w:t>情况紧急时可越级上报，事故现场人员或得到事故信息的人员都可以直接向相关负责人及</w:t>
      </w:r>
      <w:r>
        <w:rPr>
          <w:rStyle w:val="45"/>
          <w:color w:val="auto"/>
        </w:rPr>
        <w:t>事故发生地县级以上人民政府安全生产监督管理部门和负有安全生产监督管理职责</w:t>
      </w:r>
      <w:r>
        <w:rPr>
          <w:rStyle w:val="45"/>
          <w:rFonts w:hint="eastAsia"/>
          <w:color w:val="auto"/>
        </w:rPr>
        <w:t>的</w:t>
      </w:r>
      <w:r>
        <w:rPr>
          <w:rFonts w:hint="eastAsia" w:ascii="宋体" w:hAnsi="宋体" w:cs="宋体"/>
          <w:kern w:val="0"/>
        </w:rPr>
        <w:t>有关部门报告。</w:t>
      </w:r>
    </w:p>
    <w:p>
      <w:pPr>
        <w:widowControl w:val="0"/>
        <w:ind w:firstLine="480"/>
        <w:rPr>
          <w:rFonts w:ascii="宋体" w:hAnsi="宋体" w:eastAsia="宋体"/>
          <w:bCs/>
        </w:rPr>
      </w:pPr>
      <w:r>
        <w:rPr>
          <w:rFonts w:hint="eastAsia" w:ascii="宋体" w:hAnsi="宋体" w:eastAsia="宋体"/>
          <w:bCs/>
        </w:rPr>
        <w:t>（三）发生重伤及以上事故和较大涉险事故，总承包项目部应当于</w:t>
      </w:r>
      <w:r>
        <w:rPr>
          <w:rFonts w:eastAsia="宋体"/>
          <w:bCs/>
        </w:rPr>
        <w:t>1</w:t>
      </w:r>
      <w:r>
        <w:rPr>
          <w:rFonts w:hint="eastAsia" w:ascii="宋体" w:hAnsi="宋体" w:eastAsia="宋体"/>
          <w:bCs/>
        </w:rPr>
        <w:t>小时内向事发地县级以上人民政府安全生产监督管理部门、负有安全生产监督管理职责的有关部门及地方行政主管部门报告。</w:t>
      </w:r>
    </w:p>
    <w:p>
      <w:pPr>
        <w:widowControl w:val="0"/>
        <w:ind w:firstLine="482"/>
        <w:rPr>
          <w:rFonts w:ascii="宋体" w:hAnsi="宋体" w:eastAsia="宋体"/>
          <w:bCs/>
        </w:rPr>
      </w:pPr>
      <w:r>
        <w:rPr>
          <w:rFonts w:hint="eastAsia" w:ascii="宋体" w:hAnsi="宋体" w:eastAsia="宋体"/>
          <w:b/>
        </w:rPr>
        <w:t>第六条</w:t>
      </w:r>
      <w:r>
        <w:rPr>
          <w:rFonts w:hint="eastAsia" w:ascii="宋体" w:hAnsi="宋体" w:eastAsia="宋体"/>
          <w:bCs/>
        </w:rPr>
        <w:t xml:space="preserve"> 报告事故应当包括下列内容：</w:t>
      </w:r>
    </w:p>
    <w:p>
      <w:pPr>
        <w:widowControl w:val="0"/>
        <w:ind w:firstLine="480"/>
        <w:rPr>
          <w:rFonts w:ascii="宋体" w:hAnsi="宋体" w:eastAsia="宋体"/>
          <w:bCs/>
        </w:rPr>
      </w:pPr>
      <w:r>
        <w:rPr>
          <w:rFonts w:hint="eastAsia" w:ascii="宋体" w:hAnsi="宋体" w:eastAsia="宋体"/>
          <w:bCs/>
        </w:rPr>
        <w:t>（一）事故发生单位概况；</w:t>
      </w:r>
    </w:p>
    <w:p>
      <w:pPr>
        <w:widowControl w:val="0"/>
        <w:ind w:firstLine="480"/>
        <w:rPr>
          <w:rFonts w:ascii="宋体" w:hAnsi="宋体" w:eastAsia="宋体"/>
          <w:bCs/>
        </w:rPr>
      </w:pPr>
      <w:r>
        <w:rPr>
          <w:rFonts w:hint="eastAsia" w:ascii="宋体" w:hAnsi="宋体" w:eastAsia="宋体"/>
          <w:bCs/>
        </w:rPr>
        <w:t>（二）事故发生的时间、地点以及事故现场情况；</w:t>
      </w:r>
    </w:p>
    <w:p>
      <w:pPr>
        <w:widowControl w:val="0"/>
        <w:ind w:firstLine="480"/>
        <w:rPr>
          <w:rFonts w:ascii="宋体" w:hAnsi="宋体" w:eastAsia="宋体"/>
          <w:bCs/>
        </w:rPr>
      </w:pPr>
      <w:r>
        <w:rPr>
          <w:rFonts w:hint="eastAsia" w:ascii="宋体" w:hAnsi="宋体" w:eastAsia="宋体"/>
          <w:bCs/>
        </w:rPr>
        <w:t>（三）事故的简要经过；</w:t>
      </w:r>
    </w:p>
    <w:p>
      <w:pPr>
        <w:widowControl w:val="0"/>
        <w:ind w:firstLine="480"/>
        <w:rPr>
          <w:rFonts w:ascii="宋体" w:hAnsi="宋体" w:eastAsia="宋体"/>
          <w:bCs/>
        </w:rPr>
      </w:pPr>
      <w:r>
        <w:rPr>
          <w:rFonts w:hint="eastAsia" w:ascii="宋体" w:hAnsi="宋体" w:eastAsia="宋体"/>
          <w:bCs/>
        </w:rPr>
        <w:t>（四）事故已经造成或者可能造成的伤亡人数（包括下落不明的人数）和初步估计的直接经济损失；</w:t>
      </w:r>
    </w:p>
    <w:p>
      <w:pPr>
        <w:widowControl w:val="0"/>
        <w:ind w:firstLine="480"/>
        <w:rPr>
          <w:rFonts w:ascii="宋体" w:hAnsi="宋体" w:eastAsia="宋体"/>
          <w:bCs/>
        </w:rPr>
      </w:pPr>
      <w:r>
        <w:rPr>
          <w:rFonts w:hint="eastAsia" w:ascii="宋体" w:hAnsi="宋体" w:eastAsia="宋体"/>
          <w:bCs/>
        </w:rPr>
        <w:t>（五）已经采取的措施；</w:t>
      </w:r>
    </w:p>
    <w:p>
      <w:pPr>
        <w:widowControl w:val="0"/>
        <w:ind w:firstLine="480"/>
        <w:rPr>
          <w:rFonts w:ascii="宋体" w:hAnsi="宋体" w:eastAsia="宋体"/>
          <w:bCs/>
        </w:rPr>
      </w:pPr>
      <w:r>
        <w:rPr>
          <w:rFonts w:hint="eastAsia" w:ascii="宋体" w:hAnsi="宋体" w:eastAsia="宋体"/>
          <w:bCs/>
        </w:rPr>
        <w:t>（六）其他应当报告的情况。</w:t>
      </w:r>
    </w:p>
    <w:p>
      <w:pPr>
        <w:widowControl w:val="0"/>
        <w:ind w:firstLine="482"/>
        <w:rPr>
          <w:rFonts w:ascii="宋体" w:hAnsi="宋体" w:eastAsia="宋体"/>
          <w:bCs/>
        </w:rPr>
      </w:pPr>
      <w:r>
        <w:rPr>
          <w:rFonts w:hint="eastAsia" w:ascii="宋体" w:hAnsi="宋体" w:eastAsia="宋体"/>
          <w:b/>
        </w:rPr>
        <w:t>第七条</w:t>
      </w:r>
      <w:r>
        <w:rPr>
          <w:rFonts w:hint="eastAsia" w:ascii="宋体" w:hAnsi="宋体" w:eastAsia="宋体"/>
          <w:bCs/>
        </w:rPr>
        <w:t xml:space="preserve"> 事故具体情况暂时不清楚的，可以先报事故概况，随后补报事故全面情况。事故报告后出现新情况的，应当及时补报。</w:t>
      </w:r>
    </w:p>
    <w:p>
      <w:pPr>
        <w:widowControl w:val="0"/>
        <w:ind w:firstLine="480"/>
        <w:rPr>
          <w:rFonts w:ascii="宋体" w:hAnsi="宋体" w:eastAsia="宋体"/>
          <w:bCs/>
        </w:rPr>
      </w:pPr>
      <w:r>
        <w:rPr>
          <w:rFonts w:hint="eastAsia" w:ascii="宋体" w:hAnsi="宋体" w:eastAsia="宋体"/>
          <w:bCs/>
        </w:rPr>
        <w:t>（一）较大涉险事故、一般事故、较大事故每日至少续报</w:t>
      </w:r>
      <w:r>
        <w:rPr>
          <w:rFonts w:hint="eastAsia" w:eastAsia="宋体"/>
          <w:bCs/>
        </w:rPr>
        <w:t>1</w:t>
      </w:r>
      <w:r>
        <w:rPr>
          <w:rFonts w:hint="eastAsia" w:ascii="宋体" w:hAnsi="宋体" w:eastAsia="宋体"/>
          <w:bCs/>
        </w:rPr>
        <w:t>次；重大事故、特别重大事故每日至少续报</w:t>
      </w:r>
      <w:r>
        <w:rPr>
          <w:rFonts w:hint="eastAsia" w:eastAsia="宋体"/>
          <w:bCs/>
        </w:rPr>
        <w:t>2</w:t>
      </w:r>
      <w:r>
        <w:rPr>
          <w:rFonts w:hint="eastAsia" w:ascii="宋体" w:hAnsi="宋体" w:eastAsia="宋体"/>
          <w:bCs/>
        </w:rPr>
        <w:t>次。</w:t>
      </w:r>
    </w:p>
    <w:p>
      <w:pPr>
        <w:widowControl w:val="0"/>
        <w:ind w:firstLine="480"/>
        <w:rPr>
          <w:rFonts w:ascii="宋体" w:hAnsi="宋体" w:eastAsia="宋体"/>
          <w:bCs/>
        </w:rPr>
      </w:pPr>
      <w:r>
        <w:rPr>
          <w:rFonts w:hint="eastAsia" w:ascii="宋体" w:hAnsi="宋体" w:eastAsia="宋体"/>
          <w:bCs/>
        </w:rPr>
        <w:t>（二）自事故发生之日起</w:t>
      </w:r>
      <w:r>
        <w:rPr>
          <w:rFonts w:hint="eastAsia" w:eastAsia="宋体"/>
          <w:bCs/>
        </w:rPr>
        <w:t>30</w:t>
      </w:r>
      <w:r>
        <w:rPr>
          <w:rFonts w:hint="eastAsia" w:ascii="宋体" w:hAnsi="宋体" w:eastAsia="宋体"/>
          <w:bCs/>
        </w:rPr>
        <w:t>日内，事故造成的伤亡人数发生变化的，应当及时补报。发生火灾或道路交通事故，自发生之日起</w:t>
      </w:r>
      <w:r>
        <w:rPr>
          <w:rFonts w:hint="eastAsia" w:eastAsia="宋体"/>
          <w:bCs/>
        </w:rPr>
        <w:t>7</w:t>
      </w:r>
      <w:r>
        <w:rPr>
          <w:rFonts w:hint="eastAsia" w:ascii="宋体" w:hAnsi="宋体" w:eastAsia="宋体"/>
          <w:bCs/>
        </w:rPr>
        <w:t>日内，事故造成的伤亡人数发生变化的，应当及时补报。</w:t>
      </w:r>
    </w:p>
    <w:p>
      <w:pPr>
        <w:widowControl w:val="0"/>
        <w:ind w:firstLine="482"/>
        <w:rPr>
          <w:rFonts w:ascii="宋体" w:hAnsi="宋体" w:eastAsia="宋体"/>
          <w:bCs/>
        </w:rPr>
      </w:pPr>
      <w:r>
        <w:rPr>
          <w:rFonts w:hint="eastAsia" w:ascii="宋体" w:hAnsi="宋体" w:eastAsia="宋体"/>
          <w:b/>
        </w:rPr>
        <w:t xml:space="preserve">第八条 </w:t>
      </w:r>
      <w:r>
        <w:rPr>
          <w:rFonts w:hint="eastAsia" w:ascii="宋体" w:hAnsi="宋体" w:eastAsia="宋体"/>
          <w:bCs/>
        </w:rPr>
        <w:t>事故现场处置应当包含以下内容：</w:t>
      </w:r>
    </w:p>
    <w:p>
      <w:pPr>
        <w:widowControl w:val="0"/>
        <w:ind w:firstLine="480"/>
        <w:rPr>
          <w:rFonts w:ascii="宋体" w:hAnsi="宋体" w:eastAsia="宋体"/>
          <w:bCs/>
        </w:rPr>
      </w:pPr>
      <w:r>
        <w:rPr>
          <w:rFonts w:hint="eastAsia" w:ascii="宋体" w:hAnsi="宋体" w:eastAsia="宋体"/>
          <w:bCs/>
        </w:rPr>
        <w:t>（一）事故发生后，事发单位负责人进行事故报告的同时，应迅速组织实施应急管理措施，立即撤离现场施工人员，防止事故蔓延、扩大，并负责对现场实施保护，并立即上报相关部门。</w:t>
      </w:r>
    </w:p>
    <w:p>
      <w:pPr>
        <w:widowControl w:val="0"/>
        <w:ind w:firstLine="480"/>
        <w:rPr>
          <w:rFonts w:ascii="宋体" w:hAnsi="宋体" w:eastAsia="宋体"/>
          <w:bCs/>
        </w:rPr>
      </w:pPr>
      <w:r>
        <w:rPr>
          <w:rFonts w:hint="eastAsia" w:ascii="宋体" w:hAnsi="宋体" w:eastAsia="宋体"/>
          <w:bCs/>
        </w:rPr>
        <w:t>（二）事故发生后导致人员伤亡时，事发单位应立即启动事故应急救援预案。组织实施撤离现场施工人员等应急管理措施的同时，迅速组织受伤人员的救护，并立即上报相关部门。</w:t>
      </w:r>
    </w:p>
    <w:p>
      <w:pPr>
        <w:widowControl w:val="0"/>
        <w:ind w:firstLine="480"/>
        <w:rPr>
          <w:rFonts w:ascii="宋体" w:hAnsi="宋体" w:eastAsia="宋体"/>
          <w:bCs/>
        </w:rPr>
      </w:pPr>
      <w:r>
        <w:rPr>
          <w:rFonts w:hint="eastAsia" w:ascii="宋体" w:hAnsi="宋体" w:eastAsia="宋体"/>
          <w:bCs/>
        </w:rPr>
        <w:t>（三）保护好事故现场。</w:t>
      </w:r>
    </w:p>
    <w:p>
      <w:pPr>
        <w:widowControl w:val="0"/>
        <w:ind w:firstLine="482"/>
        <w:rPr>
          <w:rFonts w:ascii="宋体" w:hAnsi="宋体" w:eastAsia="宋体"/>
          <w:bCs/>
        </w:rPr>
      </w:pPr>
      <w:r>
        <w:rPr>
          <w:rFonts w:hint="eastAsia" w:ascii="宋体" w:hAnsi="宋体" w:eastAsia="宋体"/>
          <w:b/>
        </w:rPr>
        <w:t>第九条</w:t>
      </w:r>
      <w:r>
        <w:rPr>
          <w:rFonts w:hint="eastAsia" w:ascii="宋体" w:hAnsi="宋体" w:eastAsia="宋体"/>
          <w:bCs/>
        </w:rPr>
        <w:t xml:space="preserve"> 上级单位、地方政府组织事故救援时，事故发生单位和人员应当积极配合。</w:t>
      </w:r>
    </w:p>
    <w:p>
      <w:pPr>
        <w:widowControl w:val="0"/>
        <w:ind w:firstLine="482"/>
        <w:rPr>
          <w:ins w:id="0" w:author="田苗旺" w:date="2018-01-24T11:16:00Z"/>
          <w:rFonts w:ascii="宋体" w:hAnsi="宋体" w:eastAsia="宋体"/>
          <w:bCs/>
        </w:rPr>
      </w:pPr>
      <w:r>
        <w:rPr>
          <w:rFonts w:hint="eastAsia" w:ascii="宋体" w:hAnsi="宋体" w:eastAsia="宋体"/>
          <w:b/>
        </w:rPr>
        <w:t>第十条</w:t>
      </w:r>
      <w:r>
        <w:rPr>
          <w:rFonts w:hint="eastAsia" w:ascii="宋体" w:hAnsi="宋体" w:eastAsia="宋体"/>
          <w:bCs/>
        </w:rPr>
        <w:t xml:space="preserve"> 事故发生后，事发单位和人员应当妥善保护事故现场以及相关证据，任何单位和个人不得破坏事故现场、毁灭相关证据。因抢救人员、防止事故扩大以及疏通交通等原因，需要移动事故现场物件的，应当做出标志，绘制现场简图并做出书面记录，妥善保存现场重要痕迹、物证。</w:t>
      </w:r>
    </w:p>
    <w:p>
      <w:pPr>
        <w:widowControl w:val="0"/>
        <w:ind w:firstLine="482"/>
        <w:rPr>
          <w:rFonts w:ascii="宋体" w:hAnsi="宋体" w:eastAsia="宋体"/>
          <w:bCs/>
        </w:rPr>
      </w:pPr>
      <w:r>
        <w:rPr>
          <w:rFonts w:hint="eastAsia" w:ascii="宋体" w:hAnsi="宋体" w:eastAsia="宋体"/>
          <w:b/>
        </w:rPr>
        <w:t>第十一条</w:t>
      </w:r>
      <w:r>
        <w:rPr>
          <w:rFonts w:hint="eastAsia" w:ascii="宋体" w:hAnsi="宋体" w:eastAsia="宋体"/>
          <w:bCs/>
        </w:rPr>
        <w:t xml:space="preserve"> 事故发生后，总承包项目部应以生产安全事故快报（附件</w:t>
      </w:r>
      <w:r>
        <w:rPr>
          <w:rFonts w:hint="eastAsia" w:eastAsia="宋体"/>
          <w:bCs/>
        </w:rPr>
        <w:t>1</w:t>
      </w:r>
      <w:r>
        <w:rPr>
          <w:rFonts w:hint="eastAsia" w:ascii="宋体" w:hAnsi="宋体" w:eastAsia="宋体"/>
          <w:bCs/>
        </w:rPr>
        <w:t>）、报告短信（附件</w:t>
      </w:r>
      <w:r>
        <w:rPr>
          <w:rFonts w:hint="eastAsia" w:eastAsia="宋体"/>
          <w:bCs/>
        </w:rPr>
        <w:t>2</w:t>
      </w:r>
      <w:r>
        <w:rPr>
          <w:rFonts w:hint="eastAsia" w:ascii="宋体" w:hAnsi="宋体" w:eastAsia="宋体"/>
          <w:bCs/>
        </w:rPr>
        <w:t>）格式上报苏州中车建设工程有限公司，快报应包含不少于</w:t>
      </w:r>
      <w:r>
        <w:rPr>
          <w:rFonts w:hint="eastAsia" w:eastAsia="宋体"/>
          <w:bCs/>
        </w:rPr>
        <w:t>4</w:t>
      </w:r>
      <w:r>
        <w:rPr>
          <w:rFonts w:hint="eastAsia" w:ascii="宋体" w:hAnsi="宋体" w:eastAsia="宋体"/>
          <w:bCs/>
        </w:rPr>
        <w:t>张能充分反映事故现场实际情况和全貌的电子版照片。</w:t>
      </w:r>
    </w:p>
    <w:p>
      <w:pPr>
        <w:pStyle w:val="3"/>
        <w:widowControl w:val="0"/>
      </w:pPr>
      <w:bookmarkStart w:id="81" w:name="_Toc21695"/>
      <w:bookmarkStart w:id="82" w:name="_Toc4997"/>
      <w:bookmarkStart w:id="83" w:name="_Toc5775"/>
      <w:r>
        <w:rPr>
          <w:rFonts w:hint="eastAsia"/>
        </w:rPr>
        <w:t>第三章 事故调查</w:t>
      </w:r>
      <w:bookmarkEnd w:id="81"/>
      <w:bookmarkEnd w:id="82"/>
      <w:bookmarkEnd w:id="83"/>
    </w:p>
    <w:p>
      <w:pPr>
        <w:widowControl w:val="0"/>
        <w:ind w:firstLine="482"/>
        <w:rPr>
          <w:rFonts w:ascii="宋体" w:hAnsi="宋体" w:eastAsia="宋体"/>
          <w:bCs/>
        </w:rPr>
      </w:pPr>
      <w:r>
        <w:rPr>
          <w:rFonts w:hint="eastAsia" w:ascii="宋体" w:hAnsi="宋体" w:eastAsia="宋体"/>
          <w:b/>
        </w:rPr>
        <w:t>第十二条</w:t>
      </w:r>
      <w:r>
        <w:rPr>
          <w:rFonts w:hint="eastAsia" w:ascii="宋体" w:hAnsi="宋体" w:eastAsia="宋体"/>
          <w:bCs/>
        </w:rPr>
        <w:t xml:space="preserve"> 由人民政府组织调查的事故，总承包项目部及工区项目部应当积极配合人民政府依法组织调查。由苏州中车建设工程有限公司组织调查的事故，总承包项目部应成立事故调查配合小组，调查配合小组由安质环保部、工程部、综合办公室、合约部、物质设备部等部门派人组成。</w:t>
      </w:r>
    </w:p>
    <w:p>
      <w:pPr>
        <w:pStyle w:val="3"/>
        <w:widowControl w:val="0"/>
      </w:pPr>
      <w:bookmarkStart w:id="84" w:name="_Toc19010"/>
      <w:bookmarkStart w:id="85" w:name="_Toc10426"/>
      <w:bookmarkStart w:id="86" w:name="_Toc28662"/>
      <w:r>
        <w:rPr>
          <w:rFonts w:hint="eastAsia"/>
        </w:rPr>
        <w:t>第四章 事故处理</w:t>
      </w:r>
      <w:bookmarkEnd w:id="84"/>
      <w:bookmarkEnd w:id="85"/>
      <w:bookmarkEnd w:id="86"/>
    </w:p>
    <w:p>
      <w:pPr>
        <w:widowControl w:val="0"/>
        <w:ind w:firstLine="482"/>
        <w:rPr>
          <w:rFonts w:ascii="宋体" w:hAnsi="宋体" w:eastAsia="宋体"/>
          <w:bCs/>
        </w:rPr>
      </w:pPr>
      <w:r>
        <w:rPr>
          <w:rFonts w:hint="eastAsia" w:ascii="宋体" w:hAnsi="宋体" w:eastAsia="宋体"/>
          <w:b/>
        </w:rPr>
        <w:t>第十三条</w:t>
      </w:r>
      <w:r>
        <w:rPr>
          <w:rFonts w:hint="eastAsia" w:ascii="宋体" w:hAnsi="宋体" w:eastAsia="宋体"/>
          <w:bCs/>
        </w:rPr>
        <w:t xml:space="preserve"> 事故处理按照以下规定执行：</w:t>
      </w:r>
    </w:p>
    <w:p>
      <w:pPr>
        <w:widowControl w:val="0"/>
        <w:ind w:firstLine="480"/>
        <w:rPr>
          <w:rFonts w:ascii="宋体" w:hAnsi="宋体" w:eastAsia="宋体"/>
          <w:bCs/>
        </w:rPr>
      </w:pPr>
      <w:r>
        <w:rPr>
          <w:rFonts w:hint="eastAsia" w:ascii="宋体" w:hAnsi="宋体" w:eastAsia="宋体"/>
          <w:bCs/>
        </w:rPr>
        <w:t>由人民政府组织调查的事故，调查报告经负责事故调查的人民政府批复后，总承包项目部依据批复，依照法律、法规规定的权限和程序，对有关责任人进行行政处罚和处分。</w:t>
      </w:r>
    </w:p>
    <w:p>
      <w:pPr>
        <w:widowControl w:val="0"/>
        <w:ind w:firstLine="480"/>
        <w:rPr>
          <w:rFonts w:ascii="宋体" w:hAnsi="宋体" w:eastAsia="宋体"/>
          <w:bCs/>
        </w:rPr>
      </w:pPr>
      <w:r>
        <w:rPr>
          <w:rFonts w:hint="eastAsia" w:ascii="宋体" w:hAnsi="宋体" w:eastAsia="宋体"/>
          <w:bCs/>
        </w:rPr>
        <w:t>由苏州中车建设工程有限公司组织调查的事故，依据有关规定，对负有事故责任的部门和有关人员进行处理。</w:t>
      </w:r>
    </w:p>
    <w:p>
      <w:pPr>
        <w:widowControl w:val="0"/>
        <w:ind w:firstLine="480"/>
        <w:rPr>
          <w:rFonts w:ascii="宋体" w:hAnsi="宋体" w:eastAsia="宋体"/>
          <w:bCs/>
        </w:rPr>
      </w:pPr>
      <w:r>
        <w:rPr>
          <w:rFonts w:hint="eastAsia" w:ascii="宋体" w:hAnsi="宋体" w:eastAsia="宋体"/>
          <w:bCs/>
        </w:rPr>
        <w:t>发生事故后必须坚持“四不放过”原则对事故进行处理，凡是由于玩忽职守、工作不负责任，不遵守国家相关安全法律法规及总承包项目部相关安全规章制度而造成事故的责任者都要按照相关制度给予相应的教育和处罚，触犯国家相关法律构成犯罪的，移送司法机关处理。</w:t>
      </w:r>
    </w:p>
    <w:p>
      <w:pPr>
        <w:widowControl w:val="0"/>
        <w:ind w:firstLine="482"/>
        <w:rPr>
          <w:rFonts w:ascii="宋体" w:hAnsi="宋体" w:eastAsia="宋体"/>
          <w:bCs/>
        </w:rPr>
      </w:pPr>
      <w:r>
        <w:rPr>
          <w:rFonts w:hint="eastAsia" w:ascii="宋体" w:hAnsi="宋体" w:eastAsia="宋体"/>
          <w:b/>
        </w:rPr>
        <w:t>第十四条</w:t>
      </w:r>
      <w:r>
        <w:rPr>
          <w:rFonts w:hint="eastAsia" w:ascii="宋体" w:hAnsi="宋体" w:eastAsia="宋体"/>
          <w:bCs/>
        </w:rPr>
        <w:t xml:space="preserve"> 事故发生单位应当认真吸取事故教训，落实防范和整改措施，防止事故再次发生。防范和整改措施的落实情况应当接受总承包项目部的监督；单位负责人应组织相关部门和人员对落实防范整改措施的情况进行监督检查。</w:t>
      </w:r>
    </w:p>
    <w:p>
      <w:pPr>
        <w:widowControl w:val="0"/>
        <w:ind w:firstLine="482"/>
        <w:rPr>
          <w:ins w:id="1" w:author="田苗旺" w:date="2018-01-24T11:21:00Z"/>
          <w:rFonts w:ascii="宋体" w:hAnsi="宋体" w:eastAsia="宋体"/>
          <w:bCs/>
        </w:rPr>
      </w:pPr>
      <w:r>
        <w:rPr>
          <w:rFonts w:hint="eastAsia" w:ascii="宋体" w:hAnsi="宋体" w:eastAsia="宋体"/>
          <w:b/>
        </w:rPr>
        <w:t>第十五条</w:t>
      </w:r>
      <w:r>
        <w:rPr>
          <w:rFonts w:hint="eastAsia" w:ascii="宋体" w:hAnsi="宋体" w:eastAsia="宋体"/>
          <w:bCs/>
        </w:rPr>
        <w:t xml:space="preserve"> 生产安全事故报告、调查和处理过程中形成的具有保存价值的各种文字、图表、声像、电子等不同形式的历史记录，应形成事故档案并妥善保管。</w:t>
      </w:r>
    </w:p>
    <w:p>
      <w:pPr>
        <w:pStyle w:val="3"/>
        <w:widowControl w:val="0"/>
      </w:pPr>
      <w:bookmarkStart w:id="87" w:name="_Toc17830"/>
      <w:bookmarkStart w:id="88" w:name="_Toc29749"/>
      <w:bookmarkStart w:id="89" w:name="_Toc4789"/>
      <w:r>
        <w:rPr>
          <w:rFonts w:hint="eastAsia"/>
        </w:rPr>
        <w:t>第五章 附则</w:t>
      </w:r>
      <w:bookmarkEnd w:id="87"/>
      <w:bookmarkEnd w:id="88"/>
      <w:bookmarkEnd w:id="89"/>
    </w:p>
    <w:p>
      <w:pPr>
        <w:widowControl w:val="0"/>
        <w:ind w:firstLine="482"/>
        <w:rPr>
          <w:rFonts w:ascii="宋体" w:hAnsi="宋体" w:eastAsia="宋体"/>
          <w:bCs/>
        </w:rPr>
      </w:pPr>
      <w:r>
        <w:rPr>
          <w:rFonts w:hint="eastAsia" w:ascii="宋体" w:hAnsi="宋体" w:eastAsia="宋体"/>
          <w:b/>
        </w:rPr>
        <w:t>第十六条</w:t>
      </w:r>
      <w:r>
        <w:rPr>
          <w:rFonts w:hint="eastAsia" w:ascii="宋体" w:hAnsi="宋体" w:eastAsia="宋体"/>
          <w:bCs/>
        </w:rPr>
        <w:t xml:space="preserve"> 术语与定义</w:t>
      </w:r>
    </w:p>
    <w:p>
      <w:pPr>
        <w:widowControl w:val="0"/>
        <w:ind w:firstLine="480"/>
        <w:rPr>
          <w:rFonts w:ascii="宋体" w:hAnsi="宋体" w:eastAsia="宋体"/>
          <w:bCs/>
        </w:rPr>
      </w:pPr>
      <w:r>
        <w:rPr>
          <w:rFonts w:hint="eastAsia" w:ascii="宋体" w:hAnsi="宋体" w:eastAsia="宋体"/>
          <w:bCs/>
        </w:rPr>
        <w:t>（一）生产安全事故：是指单位在生产经营活动（包括与生产经营有关的活动）中突然发生的，伤害人身安全和健康或者损坏设备设施或者造成经济损失的，导致原生产经营活动（包括与生产经营活动有关的活动）暂时中止或永远终止的意外事件。</w:t>
      </w:r>
    </w:p>
    <w:p>
      <w:pPr>
        <w:widowControl w:val="0"/>
        <w:ind w:firstLine="480"/>
        <w:rPr>
          <w:rFonts w:ascii="宋体" w:hAnsi="宋体" w:eastAsia="宋体"/>
          <w:bCs/>
        </w:rPr>
      </w:pPr>
      <w:r>
        <w:rPr>
          <w:rFonts w:hint="eastAsia" w:ascii="宋体" w:hAnsi="宋体" w:eastAsia="宋体"/>
          <w:bCs/>
        </w:rPr>
        <w:t>（二）轻伤事故：是指损失工作日在</w:t>
      </w:r>
      <w:r>
        <w:rPr>
          <w:rFonts w:eastAsia="宋体"/>
          <w:bCs/>
        </w:rPr>
        <w:t>105</w:t>
      </w:r>
      <w:r>
        <w:rPr>
          <w:rFonts w:hint="eastAsia" w:ascii="宋体" w:hAnsi="宋体" w:eastAsia="宋体"/>
          <w:bCs/>
        </w:rPr>
        <w:t>日（不含）以下的失能伤害。</w:t>
      </w:r>
    </w:p>
    <w:p>
      <w:pPr>
        <w:widowControl w:val="0"/>
        <w:ind w:firstLine="480"/>
        <w:rPr>
          <w:rFonts w:ascii="宋体" w:hAnsi="宋体" w:eastAsia="宋体"/>
          <w:bCs/>
        </w:rPr>
      </w:pPr>
      <w:r>
        <w:rPr>
          <w:rFonts w:hint="eastAsia" w:ascii="宋体" w:hAnsi="宋体" w:eastAsia="宋体"/>
          <w:bCs/>
        </w:rPr>
        <w:t>（三）重伤事故：是指损失工作日在</w:t>
      </w:r>
      <w:r>
        <w:rPr>
          <w:rFonts w:hint="eastAsia" w:eastAsia="宋体"/>
          <w:bCs/>
        </w:rPr>
        <w:t>105</w:t>
      </w:r>
      <w:r>
        <w:rPr>
          <w:rFonts w:hint="eastAsia" w:ascii="宋体" w:hAnsi="宋体" w:eastAsia="宋体"/>
          <w:bCs/>
        </w:rPr>
        <w:t>日及以上，</w:t>
      </w:r>
      <w:r>
        <w:rPr>
          <w:rFonts w:hint="eastAsia" w:eastAsia="宋体"/>
          <w:bCs/>
        </w:rPr>
        <w:t>6000</w:t>
      </w:r>
      <w:r>
        <w:rPr>
          <w:rFonts w:hint="eastAsia" w:ascii="宋体" w:hAnsi="宋体" w:eastAsia="宋体"/>
          <w:bCs/>
        </w:rPr>
        <w:t>日（不含）以下的失能伤害。</w:t>
      </w:r>
    </w:p>
    <w:p>
      <w:pPr>
        <w:widowControl w:val="0"/>
        <w:ind w:firstLine="480"/>
        <w:rPr>
          <w:rFonts w:ascii="宋体" w:hAnsi="宋体" w:eastAsia="宋体"/>
          <w:bCs/>
        </w:rPr>
      </w:pPr>
      <w:r>
        <w:rPr>
          <w:rFonts w:hint="eastAsia" w:ascii="宋体" w:hAnsi="宋体" w:eastAsia="宋体"/>
          <w:bCs/>
        </w:rPr>
        <w:t>（四）死亡事故：是指发生人员死亡的事故。</w:t>
      </w:r>
    </w:p>
    <w:p>
      <w:pPr>
        <w:widowControl w:val="0"/>
        <w:ind w:firstLine="480"/>
        <w:rPr>
          <w:rFonts w:ascii="宋体" w:hAnsi="宋体" w:eastAsia="宋体"/>
          <w:bCs/>
        </w:rPr>
      </w:pPr>
      <w:r>
        <w:rPr>
          <w:rFonts w:hint="eastAsia" w:ascii="宋体" w:hAnsi="宋体" w:eastAsia="宋体"/>
          <w:bCs/>
        </w:rPr>
        <w:t>（五）一般事故：是指造成</w:t>
      </w:r>
      <w:r>
        <w:rPr>
          <w:rFonts w:hint="eastAsia" w:eastAsia="宋体"/>
          <w:bCs/>
        </w:rPr>
        <w:t>3</w:t>
      </w:r>
      <w:r>
        <w:rPr>
          <w:rFonts w:hint="eastAsia" w:ascii="宋体" w:hAnsi="宋体" w:eastAsia="宋体"/>
          <w:bCs/>
        </w:rPr>
        <w:t>人以下死亡，或者</w:t>
      </w:r>
      <w:r>
        <w:rPr>
          <w:rFonts w:hint="eastAsia" w:eastAsia="宋体"/>
          <w:bCs/>
        </w:rPr>
        <w:t>10</w:t>
      </w:r>
      <w:r>
        <w:rPr>
          <w:rFonts w:hint="eastAsia" w:ascii="宋体" w:hAnsi="宋体" w:eastAsia="宋体"/>
          <w:bCs/>
        </w:rPr>
        <w:t>人以下重伤，或者</w:t>
      </w:r>
      <w:r>
        <w:rPr>
          <w:rFonts w:hint="eastAsia" w:eastAsia="宋体"/>
          <w:bCs/>
        </w:rPr>
        <w:t>1000</w:t>
      </w:r>
      <w:r>
        <w:rPr>
          <w:rFonts w:hint="eastAsia" w:ascii="宋体" w:hAnsi="宋体" w:eastAsia="宋体"/>
          <w:bCs/>
        </w:rPr>
        <w:t>万元以下直接经济损失的事故。</w:t>
      </w:r>
    </w:p>
    <w:p>
      <w:pPr>
        <w:widowControl w:val="0"/>
        <w:ind w:firstLine="480"/>
        <w:rPr>
          <w:rFonts w:ascii="宋体" w:hAnsi="宋体" w:eastAsia="宋体"/>
          <w:bCs/>
        </w:rPr>
      </w:pPr>
      <w:r>
        <w:rPr>
          <w:rFonts w:hint="eastAsia" w:ascii="宋体" w:hAnsi="宋体" w:eastAsia="宋体"/>
          <w:bCs/>
        </w:rPr>
        <w:t>（六）较大事故：是指造</w:t>
      </w:r>
      <w:r>
        <w:rPr>
          <w:rFonts w:hint="eastAsia" w:eastAsia="宋体"/>
          <w:bCs/>
        </w:rPr>
        <w:t>成3人以上10人以下死亡，或者10</w:t>
      </w:r>
      <w:r>
        <w:rPr>
          <w:rFonts w:hint="eastAsia" w:ascii="宋体" w:hAnsi="宋体" w:eastAsia="宋体"/>
          <w:bCs/>
        </w:rPr>
        <w:t>人以上</w:t>
      </w:r>
      <w:r>
        <w:rPr>
          <w:rFonts w:hint="eastAsia" w:eastAsia="宋体"/>
          <w:bCs/>
        </w:rPr>
        <w:t>50</w:t>
      </w:r>
      <w:r>
        <w:rPr>
          <w:rFonts w:hint="eastAsia" w:ascii="宋体" w:hAnsi="宋体" w:eastAsia="宋体"/>
          <w:bCs/>
        </w:rPr>
        <w:t>人以下重伤，或者</w:t>
      </w:r>
      <w:r>
        <w:rPr>
          <w:rFonts w:hint="eastAsia" w:eastAsia="宋体"/>
          <w:bCs/>
        </w:rPr>
        <w:t>1000万元以上5000万元以</w:t>
      </w:r>
      <w:r>
        <w:rPr>
          <w:rFonts w:hint="eastAsia" w:ascii="宋体" w:hAnsi="宋体" w:eastAsia="宋体"/>
          <w:bCs/>
        </w:rPr>
        <w:t>下直接经济损失的事故。</w:t>
      </w:r>
    </w:p>
    <w:p>
      <w:pPr>
        <w:widowControl w:val="0"/>
        <w:ind w:firstLine="480"/>
        <w:rPr>
          <w:rFonts w:eastAsia="宋体"/>
          <w:bCs/>
        </w:rPr>
      </w:pPr>
      <w:r>
        <w:rPr>
          <w:rFonts w:hint="eastAsia" w:ascii="宋体" w:hAnsi="宋体" w:eastAsia="宋体"/>
          <w:bCs/>
        </w:rPr>
        <w:t>（七）重大事故：是指</w:t>
      </w:r>
      <w:r>
        <w:rPr>
          <w:rFonts w:hint="eastAsia" w:eastAsia="宋体"/>
          <w:bCs/>
        </w:rPr>
        <w:t>造成10人以上30人以下死亡，或者50人以上100人以下重伤，或者5000万元以上1亿元以下直接经济损失的事故。</w:t>
      </w:r>
    </w:p>
    <w:p>
      <w:pPr>
        <w:widowControl w:val="0"/>
        <w:ind w:firstLine="480"/>
        <w:rPr>
          <w:rFonts w:ascii="宋体" w:hAnsi="宋体" w:eastAsia="宋体"/>
          <w:bCs/>
        </w:rPr>
      </w:pPr>
      <w:r>
        <w:rPr>
          <w:rFonts w:hint="eastAsia" w:ascii="宋体" w:hAnsi="宋体" w:eastAsia="宋体"/>
          <w:bCs/>
        </w:rPr>
        <w:t>（八）</w:t>
      </w:r>
      <w:r>
        <w:fldChar w:fldCharType="begin"/>
      </w:r>
      <w:r>
        <w:instrText xml:space="preserve"> HYPERLINK "http://baike.baidu.com/view/2455608.htm" \t "_blank" </w:instrText>
      </w:r>
      <w:r>
        <w:fldChar w:fldCharType="separate"/>
      </w:r>
      <w:r>
        <w:rPr>
          <w:rFonts w:hint="eastAsia" w:ascii="宋体" w:hAnsi="宋体" w:eastAsia="宋体"/>
          <w:bCs/>
        </w:rPr>
        <w:t>特别重大事故</w:t>
      </w:r>
      <w:r>
        <w:rPr>
          <w:rFonts w:hint="eastAsia" w:ascii="宋体" w:hAnsi="宋体" w:eastAsia="宋体"/>
          <w:bCs/>
        </w:rPr>
        <w:fldChar w:fldCharType="end"/>
      </w:r>
      <w:r>
        <w:rPr>
          <w:rFonts w:hint="eastAsia" w:ascii="宋体" w:hAnsi="宋体" w:eastAsia="宋体"/>
          <w:bCs/>
        </w:rPr>
        <w:t>：是指造</w:t>
      </w:r>
      <w:r>
        <w:rPr>
          <w:rFonts w:hint="eastAsia" w:eastAsia="宋体"/>
          <w:bCs/>
        </w:rPr>
        <w:t>成30人以上死亡，或者100人以上重伤（包括急性工业中毒，下同），或者1亿元以</w:t>
      </w:r>
      <w:r>
        <w:rPr>
          <w:rFonts w:hint="eastAsia" w:ascii="宋体" w:hAnsi="宋体" w:eastAsia="宋体"/>
          <w:bCs/>
        </w:rPr>
        <w:t>上直接经济损失的事故。</w:t>
      </w:r>
    </w:p>
    <w:p>
      <w:pPr>
        <w:widowControl w:val="0"/>
        <w:ind w:firstLine="480"/>
        <w:rPr>
          <w:rFonts w:ascii="宋体" w:hAnsi="宋体" w:eastAsia="宋体"/>
          <w:bCs/>
        </w:rPr>
      </w:pPr>
      <w:r>
        <w:rPr>
          <w:rFonts w:hint="eastAsia" w:ascii="宋体" w:hAnsi="宋体" w:eastAsia="宋体"/>
          <w:bCs/>
        </w:rPr>
        <w:t>（九）较大涉险事故:</w:t>
      </w:r>
    </w:p>
    <w:p>
      <w:pPr>
        <w:widowControl w:val="0"/>
        <w:ind w:firstLine="480"/>
        <w:rPr>
          <w:rFonts w:eastAsia="宋体"/>
          <w:bCs/>
        </w:rPr>
      </w:pPr>
      <w:r>
        <w:rPr>
          <w:rFonts w:hint="eastAsia" w:eastAsia="宋体"/>
          <w:bCs/>
        </w:rPr>
        <w:t>a、涉险10人以上的事故；</w:t>
      </w:r>
    </w:p>
    <w:p>
      <w:pPr>
        <w:widowControl w:val="0"/>
        <w:ind w:firstLine="480"/>
        <w:rPr>
          <w:rFonts w:eastAsia="宋体"/>
          <w:bCs/>
        </w:rPr>
      </w:pPr>
      <w:r>
        <w:rPr>
          <w:rFonts w:hint="eastAsia" w:eastAsia="宋体"/>
          <w:bCs/>
        </w:rPr>
        <w:t>b、造成3人以上被困或者下落不明的事故；</w:t>
      </w:r>
    </w:p>
    <w:p>
      <w:pPr>
        <w:widowControl w:val="0"/>
        <w:ind w:firstLine="480"/>
        <w:rPr>
          <w:rFonts w:eastAsia="宋体"/>
          <w:bCs/>
        </w:rPr>
      </w:pPr>
      <w:r>
        <w:rPr>
          <w:rFonts w:hint="eastAsia" w:eastAsia="宋体"/>
          <w:bCs/>
        </w:rPr>
        <w:t>c、紧急疏散人员500人以上的事故；</w:t>
      </w:r>
    </w:p>
    <w:p>
      <w:pPr>
        <w:widowControl w:val="0"/>
        <w:ind w:firstLine="480"/>
        <w:rPr>
          <w:rFonts w:eastAsia="宋体"/>
          <w:bCs/>
        </w:rPr>
      </w:pPr>
      <w:r>
        <w:rPr>
          <w:rFonts w:hint="eastAsia" w:eastAsia="宋体"/>
          <w:bCs/>
        </w:rPr>
        <w:t>d、因生产安全事故对环境造成严重污染（人员密集场所、生活水源、农田、河流、水库、湖泊等）的事故；</w:t>
      </w:r>
    </w:p>
    <w:p>
      <w:pPr>
        <w:widowControl w:val="0"/>
        <w:ind w:firstLine="480"/>
        <w:rPr>
          <w:rFonts w:eastAsia="宋体"/>
          <w:bCs/>
        </w:rPr>
      </w:pPr>
      <w:r>
        <w:rPr>
          <w:rFonts w:hint="eastAsia" w:eastAsia="宋体"/>
          <w:bCs/>
        </w:rPr>
        <w:t>e、危及重要场所和设施安全（电站、重要水利设施、危化品库、油气站和车站、码头、港口、机场及其他人员密集场所等）的事故；</w:t>
      </w:r>
    </w:p>
    <w:p>
      <w:pPr>
        <w:widowControl w:val="0"/>
        <w:ind w:firstLine="480"/>
        <w:rPr>
          <w:rFonts w:ascii="宋体" w:hAnsi="宋体" w:eastAsia="宋体"/>
          <w:bCs/>
        </w:rPr>
      </w:pPr>
      <w:r>
        <w:rPr>
          <w:rFonts w:hint="eastAsia" w:eastAsia="宋体"/>
          <w:bCs/>
        </w:rPr>
        <w:t>f、其他较大涉险事故</w:t>
      </w:r>
      <w:r>
        <w:rPr>
          <w:rFonts w:hint="eastAsia" w:ascii="宋体" w:hAnsi="宋体" w:eastAsia="宋体"/>
          <w:bCs/>
        </w:rPr>
        <w:t>。</w:t>
      </w:r>
    </w:p>
    <w:p>
      <w:pPr>
        <w:widowControl w:val="0"/>
        <w:ind w:firstLine="482"/>
        <w:rPr>
          <w:rFonts w:ascii="宋体" w:hAnsi="宋体" w:eastAsia="宋体"/>
          <w:bCs/>
        </w:rPr>
      </w:pPr>
      <w:r>
        <w:rPr>
          <w:rFonts w:hint="eastAsia" w:ascii="宋体" w:hAnsi="宋体" w:eastAsia="宋体"/>
          <w:b/>
        </w:rPr>
        <w:t>第十七条</w:t>
      </w:r>
      <w:r>
        <w:rPr>
          <w:rFonts w:hint="eastAsia" w:ascii="宋体" w:hAnsi="宋体" w:eastAsia="宋体"/>
          <w:bCs/>
        </w:rPr>
        <w:t xml:space="preserve"> 本制度由安质环保部负责解释。</w:t>
      </w:r>
    </w:p>
    <w:p>
      <w:pPr>
        <w:widowControl w:val="0"/>
        <w:ind w:firstLine="482"/>
        <w:rPr>
          <w:rFonts w:ascii="宋体" w:hAnsi="宋体" w:eastAsia="宋体"/>
          <w:bCs/>
        </w:rPr>
      </w:pPr>
      <w:r>
        <w:rPr>
          <w:rFonts w:hint="eastAsia" w:ascii="宋体" w:hAnsi="宋体" w:eastAsia="宋体"/>
          <w:b/>
        </w:rPr>
        <w:t>第十八条</w:t>
      </w:r>
      <w:r>
        <w:rPr>
          <w:rFonts w:hint="eastAsia" w:ascii="宋体" w:hAnsi="宋体" w:eastAsia="宋体"/>
          <w:bCs/>
        </w:rPr>
        <w:t xml:space="preserve"> 本制度自印发之日起实行。</w:t>
      </w:r>
    </w:p>
    <w:p>
      <w:pPr>
        <w:widowControl w:val="0"/>
        <w:ind w:firstLine="480"/>
        <w:rPr>
          <w:rFonts w:ascii="宋体" w:hAnsi="宋体" w:eastAsia="宋体"/>
          <w:bCs/>
        </w:rPr>
      </w:pPr>
    </w:p>
    <w:p>
      <w:pPr>
        <w:widowControl w:val="0"/>
        <w:ind w:firstLine="482"/>
        <w:rPr>
          <w:rFonts w:ascii="宋体" w:hAnsi="宋体" w:eastAsia="宋体"/>
          <w:bCs/>
        </w:rPr>
      </w:pPr>
      <w:r>
        <w:rPr>
          <w:rFonts w:hint="eastAsia" w:ascii="宋体" w:hAnsi="宋体" w:eastAsia="宋体"/>
          <w:b/>
        </w:rPr>
        <w:t>附件1：</w:t>
      </w:r>
      <w:r>
        <w:rPr>
          <w:rFonts w:hint="eastAsia" w:ascii="宋体" w:hAnsi="宋体" w:eastAsia="宋体"/>
          <w:bCs/>
        </w:rPr>
        <w:t>生产安全事故快报</w:t>
      </w:r>
    </w:p>
    <w:p>
      <w:pPr>
        <w:widowControl w:val="0"/>
        <w:ind w:firstLine="482"/>
        <w:rPr>
          <w:rFonts w:ascii="宋体" w:hAnsi="宋体" w:eastAsia="宋体"/>
          <w:bCs/>
        </w:rPr>
      </w:pPr>
      <w:r>
        <w:rPr>
          <w:rFonts w:hint="eastAsia" w:ascii="宋体" w:hAnsi="宋体" w:eastAsia="宋体"/>
          <w:b/>
        </w:rPr>
        <w:t>附件2：</w:t>
      </w:r>
      <w:r>
        <w:rPr>
          <w:rFonts w:hint="eastAsia" w:ascii="宋体" w:hAnsi="宋体" w:eastAsia="宋体"/>
          <w:bCs/>
        </w:rPr>
        <w:t>事故报告手机短信格式</w:t>
      </w:r>
    </w:p>
    <w:p>
      <w:pPr>
        <w:widowControl w:val="0"/>
        <w:ind w:firstLine="0" w:firstLineChars="0"/>
        <w:rPr>
          <w:rFonts w:ascii="宋体" w:hAnsi="宋体" w:eastAsia="宋体" w:cs="宋体"/>
        </w:rPr>
      </w:pPr>
      <w:r>
        <w:rPr>
          <w:rFonts w:ascii="宋体" w:hAnsi="宋体" w:eastAsia="宋体"/>
          <w:bCs/>
        </w:rPr>
        <w:br w:type="page"/>
      </w:r>
      <w:bookmarkStart w:id="90" w:name="_Toc18118"/>
      <w:r>
        <w:rPr>
          <w:rFonts w:hint="eastAsia" w:ascii="宋体" w:hAnsi="宋体" w:eastAsia="宋体" w:cs="宋体"/>
          <w:b/>
          <w:bCs/>
        </w:rPr>
        <w:t>附件1</w:t>
      </w:r>
      <w:bookmarkEnd w:id="90"/>
      <w:r>
        <w:rPr>
          <w:rFonts w:hint="eastAsia" w:ascii="宋体" w:hAnsi="宋体" w:eastAsia="宋体" w:cs="宋体"/>
          <w:b/>
          <w:bCs/>
        </w:rPr>
        <w:t xml:space="preserve">  </w:t>
      </w:r>
      <w:r>
        <w:rPr>
          <w:rFonts w:hint="eastAsia" w:ascii="宋体" w:hAnsi="宋体" w:eastAsia="宋体" w:cs="宋体"/>
          <w:b/>
          <w:bCs/>
          <w:sz w:val="32"/>
          <w:szCs w:val="32"/>
        </w:rPr>
        <w:t xml:space="preserve"> </w:t>
      </w:r>
    </w:p>
    <w:p>
      <w:pPr>
        <w:spacing w:line="560" w:lineRule="exact"/>
        <w:ind w:firstLine="601"/>
        <w:jc w:val="center"/>
        <w:rPr>
          <w:rFonts w:ascii="华文仿宋" w:hAnsi="华文仿宋" w:eastAsia="华文仿宋"/>
          <w:b/>
          <w:color w:val="000000"/>
          <w:sz w:val="30"/>
          <w:szCs w:val="30"/>
        </w:rPr>
      </w:pPr>
      <w:r>
        <w:rPr>
          <w:rFonts w:hint="eastAsia" w:ascii="华文仿宋" w:hAnsi="华文仿宋" w:eastAsia="华文仿宋"/>
          <w:b/>
          <w:color w:val="000000"/>
          <w:sz w:val="30"/>
          <w:szCs w:val="30"/>
        </w:rPr>
        <w:t>苏州中车建设工程有限公司台州市域铁路S1线一期PPP</w:t>
      </w:r>
    </w:p>
    <w:p>
      <w:pPr>
        <w:spacing w:line="560" w:lineRule="exact"/>
        <w:ind w:firstLine="601"/>
        <w:jc w:val="center"/>
        <w:rPr>
          <w:rFonts w:ascii="华文仿宋" w:hAnsi="华文仿宋" w:eastAsia="华文仿宋"/>
          <w:color w:val="000000"/>
          <w:sz w:val="30"/>
          <w:szCs w:val="30"/>
        </w:rPr>
      </w:pPr>
      <w:r>
        <w:rPr>
          <w:rFonts w:hint="eastAsia" w:ascii="华文仿宋" w:hAnsi="华文仿宋" w:eastAsia="华文仿宋"/>
          <w:b/>
          <w:color w:val="000000"/>
          <w:sz w:val="30"/>
          <w:szCs w:val="30"/>
        </w:rPr>
        <w:t>项目工程总承包项目部生产安全事故快报</w:t>
      </w:r>
    </w:p>
    <w:p>
      <w:pPr>
        <w:spacing w:line="560" w:lineRule="exact"/>
        <w:ind w:firstLine="200" w:firstLineChars="71"/>
        <w:rPr>
          <w:rFonts w:ascii="华文仿宋" w:hAnsi="华文仿宋" w:eastAsia="华文仿宋"/>
          <w:b/>
          <w:color w:val="000000"/>
          <w:sz w:val="28"/>
        </w:rPr>
      </w:pPr>
      <w:r>
        <w:rPr>
          <w:rFonts w:hint="eastAsia" w:ascii="华文仿宋" w:hAnsi="华文仿宋" w:eastAsia="华文仿宋"/>
          <w:b/>
          <w:color w:val="000000"/>
          <w:sz w:val="28"/>
        </w:rPr>
        <w:t xml:space="preserve">单位名称：                 </w:t>
      </w:r>
    </w:p>
    <w:tbl>
      <w:tblPr>
        <w:tblStyle w:val="22"/>
        <w:tblW w:w="8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029"/>
        <w:gridCol w:w="1714"/>
        <w:gridCol w:w="513"/>
        <w:gridCol w:w="859"/>
        <w:gridCol w:w="513"/>
        <w:gridCol w:w="516"/>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72" w:type="dxa"/>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事故时间</w:t>
            </w:r>
          </w:p>
        </w:tc>
        <w:tc>
          <w:tcPr>
            <w:tcW w:w="3256" w:type="dxa"/>
            <w:gridSpan w:val="3"/>
          </w:tcPr>
          <w:p>
            <w:pPr>
              <w:spacing w:line="560" w:lineRule="exact"/>
              <w:ind w:firstLine="420" w:firstLineChars="150"/>
              <w:rPr>
                <w:rFonts w:ascii="华文仿宋" w:hAnsi="华文仿宋" w:eastAsia="华文仿宋"/>
                <w:color w:val="000000"/>
                <w:sz w:val="28"/>
              </w:rPr>
            </w:pPr>
            <w:r>
              <w:rPr>
                <w:rFonts w:hint="eastAsia" w:ascii="华文仿宋" w:hAnsi="华文仿宋" w:eastAsia="华文仿宋"/>
                <w:color w:val="000000"/>
                <w:sz w:val="28"/>
              </w:rPr>
              <w:t>年  月  日  时  分</w:t>
            </w:r>
          </w:p>
        </w:tc>
        <w:tc>
          <w:tcPr>
            <w:tcW w:w="1372" w:type="dxa"/>
            <w:gridSpan w:val="2"/>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事故地点</w:t>
            </w:r>
          </w:p>
        </w:tc>
        <w:tc>
          <w:tcPr>
            <w:tcW w:w="2783" w:type="dxa"/>
            <w:gridSpan w:val="2"/>
          </w:tcPr>
          <w:p>
            <w:pPr>
              <w:spacing w:line="560" w:lineRule="exact"/>
              <w:ind w:firstLine="560"/>
              <w:rPr>
                <w:rFonts w:ascii="华文仿宋" w:hAnsi="华文仿宋" w:eastAsia="华文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372" w:type="dxa"/>
            <w:tcBorders>
              <w:bottom w:val="single" w:color="auto" w:sz="4" w:space="0"/>
            </w:tcBorders>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事故单位</w:t>
            </w:r>
          </w:p>
        </w:tc>
        <w:tc>
          <w:tcPr>
            <w:tcW w:w="7411" w:type="dxa"/>
            <w:gridSpan w:val="7"/>
            <w:tcBorders>
              <w:bottom w:val="single" w:color="auto" w:sz="4" w:space="0"/>
            </w:tcBorders>
          </w:tcPr>
          <w:p>
            <w:pPr>
              <w:tabs>
                <w:tab w:val="left" w:pos="1062"/>
                <w:tab w:val="left" w:pos="5112"/>
                <w:tab w:val="left" w:pos="5337"/>
              </w:tabs>
              <w:spacing w:line="560" w:lineRule="exact"/>
              <w:ind w:firstLine="561"/>
              <w:rPr>
                <w:rFonts w:ascii="华文仿宋" w:hAnsi="华文仿宋" w:eastAsia="华文仿宋"/>
                <w:color w:val="000000"/>
                <w:sz w:val="28"/>
              </w:rPr>
            </w:pPr>
            <w:r>
              <w:rPr>
                <w:rFonts w:hint="eastAsia" w:ascii="华文仿宋" w:hAnsi="华文仿宋" w:eastAsia="华文仿宋"/>
                <w:b/>
                <w:color w:val="00000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72" w:type="dxa"/>
            <w:vMerge w:val="restart"/>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事故现场负 责 人</w:t>
            </w:r>
          </w:p>
        </w:tc>
        <w:tc>
          <w:tcPr>
            <w:tcW w:w="1029" w:type="dxa"/>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姓 名</w:t>
            </w:r>
          </w:p>
        </w:tc>
        <w:tc>
          <w:tcPr>
            <w:tcW w:w="1714" w:type="dxa"/>
            <w:tcBorders>
              <w:top w:val="nil"/>
            </w:tcBorders>
          </w:tcPr>
          <w:p>
            <w:pPr>
              <w:spacing w:line="560" w:lineRule="exact"/>
              <w:ind w:firstLine="560"/>
              <w:rPr>
                <w:rFonts w:ascii="华文仿宋" w:hAnsi="华文仿宋" w:eastAsia="华文仿宋"/>
                <w:color w:val="000000"/>
                <w:sz w:val="28"/>
              </w:rPr>
            </w:pPr>
          </w:p>
        </w:tc>
        <w:tc>
          <w:tcPr>
            <w:tcW w:w="1372" w:type="dxa"/>
            <w:gridSpan w:val="2"/>
            <w:vMerge w:val="restart"/>
            <w:tcBorders>
              <w:top w:val="single" w:color="auto" w:sz="4" w:space="0"/>
            </w:tcBorders>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事故单位负 责 人</w:t>
            </w:r>
          </w:p>
        </w:tc>
        <w:tc>
          <w:tcPr>
            <w:tcW w:w="1029" w:type="dxa"/>
            <w:gridSpan w:val="2"/>
            <w:tcBorders>
              <w:top w:val="single" w:color="auto" w:sz="4" w:space="0"/>
            </w:tcBorders>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姓 名</w:t>
            </w:r>
          </w:p>
        </w:tc>
        <w:tc>
          <w:tcPr>
            <w:tcW w:w="2267" w:type="dxa"/>
            <w:tcBorders>
              <w:top w:val="single" w:color="auto" w:sz="4" w:space="0"/>
            </w:tcBorders>
          </w:tcPr>
          <w:p>
            <w:pPr>
              <w:spacing w:line="560" w:lineRule="exact"/>
              <w:ind w:firstLine="560"/>
              <w:rPr>
                <w:rFonts w:ascii="华文仿宋" w:hAnsi="华文仿宋" w:eastAsia="华文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72" w:type="dxa"/>
            <w:vMerge w:val="continue"/>
          </w:tcPr>
          <w:p>
            <w:pPr>
              <w:spacing w:line="560" w:lineRule="exact"/>
              <w:ind w:firstLine="560"/>
              <w:rPr>
                <w:rFonts w:ascii="华文仿宋" w:hAnsi="华文仿宋" w:eastAsia="华文仿宋"/>
                <w:color w:val="000000"/>
                <w:sz w:val="28"/>
              </w:rPr>
            </w:pPr>
          </w:p>
        </w:tc>
        <w:tc>
          <w:tcPr>
            <w:tcW w:w="1029" w:type="dxa"/>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电 话</w:t>
            </w:r>
          </w:p>
        </w:tc>
        <w:tc>
          <w:tcPr>
            <w:tcW w:w="1714" w:type="dxa"/>
          </w:tcPr>
          <w:p>
            <w:pPr>
              <w:spacing w:line="560" w:lineRule="exact"/>
              <w:ind w:firstLine="560"/>
              <w:rPr>
                <w:rFonts w:ascii="华文仿宋" w:hAnsi="华文仿宋" w:eastAsia="华文仿宋"/>
                <w:color w:val="000000"/>
                <w:sz w:val="28"/>
              </w:rPr>
            </w:pPr>
          </w:p>
        </w:tc>
        <w:tc>
          <w:tcPr>
            <w:tcW w:w="1372" w:type="dxa"/>
            <w:gridSpan w:val="2"/>
            <w:vMerge w:val="continue"/>
          </w:tcPr>
          <w:p>
            <w:pPr>
              <w:spacing w:line="560" w:lineRule="exact"/>
              <w:ind w:firstLine="560"/>
              <w:rPr>
                <w:rFonts w:ascii="华文仿宋" w:hAnsi="华文仿宋" w:eastAsia="华文仿宋"/>
                <w:color w:val="000000"/>
                <w:sz w:val="28"/>
              </w:rPr>
            </w:pPr>
          </w:p>
        </w:tc>
        <w:tc>
          <w:tcPr>
            <w:tcW w:w="1029" w:type="dxa"/>
            <w:gridSpan w:val="2"/>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电 话</w:t>
            </w:r>
          </w:p>
        </w:tc>
        <w:tc>
          <w:tcPr>
            <w:tcW w:w="2267" w:type="dxa"/>
          </w:tcPr>
          <w:p>
            <w:pPr>
              <w:spacing w:line="560" w:lineRule="exact"/>
              <w:ind w:firstLine="560"/>
              <w:rPr>
                <w:rFonts w:ascii="华文仿宋" w:hAnsi="华文仿宋" w:eastAsia="华文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401" w:type="dxa"/>
            <w:gridSpan w:val="2"/>
          </w:tcPr>
          <w:p>
            <w:pPr>
              <w:spacing w:line="560" w:lineRule="exact"/>
              <w:ind w:left="560" w:hanging="560" w:hangingChars="200"/>
              <w:rPr>
                <w:rFonts w:ascii="华文仿宋" w:hAnsi="华文仿宋" w:eastAsia="华文仿宋"/>
                <w:color w:val="000000"/>
                <w:sz w:val="28"/>
              </w:rPr>
            </w:pPr>
            <w:r>
              <w:rPr>
                <w:rFonts w:hint="eastAsia" w:ascii="华文仿宋" w:hAnsi="华文仿宋" w:eastAsia="华文仿宋"/>
                <w:color w:val="000000"/>
                <w:sz w:val="28"/>
              </w:rPr>
              <w:t>事故已死亡（失踪）人数</w:t>
            </w:r>
          </w:p>
        </w:tc>
        <w:tc>
          <w:tcPr>
            <w:tcW w:w="1714" w:type="dxa"/>
          </w:tcPr>
          <w:p>
            <w:pPr>
              <w:spacing w:line="560" w:lineRule="exact"/>
              <w:ind w:firstLine="198" w:firstLineChars="71"/>
              <w:rPr>
                <w:rFonts w:ascii="华文仿宋" w:hAnsi="华文仿宋" w:eastAsia="华文仿宋"/>
                <w:color w:val="000000"/>
                <w:sz w:val="28"/>
              </w:rPr>
            </w:pPr>
            <w:r>
              <w:rPr>
                <w:rFonts w:hint="eastAsia" w:ascii="华文仿宋" w:hAnsi="华文仿宋" w:eastAsia="华文仿宋"/>
                <w:color w:val="000000"/>
                <w:sz w:val="28"/>
              </w:rPr>
              <w:t>死亡：</w:t>
            </w:r>
          </w:p>
          <w:p>
            <w:pPr>
              <w:spacing w:line="560" w:lineRule="exact"/>
              <w:ind w:firstLine="198" w:firstLineChars="71"/>
              <w:rPr>
                <w:rFonts w:ascii="华文仿宋" w:hAnsi="华文仿宋" w:eastAsia="华文仿宋"/>
                <w:color w:val="000000"/>
                <w:sz w:val="28"/>
              </w:rPr>
            </w:pPr>
            <w:r>
              <w:rPr>
                <w:rFonts w:hint="eastAsia" w:ascii="华文仿宋" w:hAnsi="华文仿宋" w:eastAsia="华文仿宋"/>
                <w:color w:val="000000"/>
                <w:sz w:val="28"/>
              </w:rPr>
              <w:t>失踪：</w:t>
            </w:r>
          </w:p>
        </w:tc>
        <w:tc>
          <w:tcPr>
            <w:tcW w:w="2401" w:type="dxa"/>
            <w:gridSpan w:val="4"/>
          </w:tcPr>
          <w:p>
            <w:pPr>
              <w:spacing w:line="560" w:lineRule="exact"/>
              <w:ind w:firstLine="0" w:firstLineChars="0"/>
              <w:rPr>
                <w:rFonts w:ascii="华文仿宋" w:hAnsi="华文仿宋" w:eastAsia="华文仿宋"/>
                <w:color w:val="000000"/>
                <w:sz w:val="28"/>
              </w:rPr>
            </w:pPr>
            <w:r>
              <w:rPr>
                <w:rFonts w:hint="eastAsia" w:ascii="华文仿宋" w:hAnsi="华文仿宋" w:eastAsia="华文仿宋"/>
                <w:color w:val="000000"/>
                <w:sz w:val="28"/>
              </w:rPr>
              <w:t>事故重伤人数</w:t>
            </w:r>
          </w:p>
        </w:tc>
        <w:tc>
          <w:tcPr>
            <w:tcW w:w="2267" w:type="dxa"/>
          </w:tcPr>
          <w:p>
            <w:pPr>
              <w:spacing w:line="560" w:lineRule="exact"/>
              <w:ind w:firstLine="560"/>
              <w:rPr>
                <w:rFonts w:ascii="华文仿宋" w:hAnsi="华文仿宋" w:eastAsia="华文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8783" w:type="dxa"/>
            <w:gridSpan w:val="8"/>
          </w:tcPr>
          <w:p>
            <w:pPr>
              <w:spacing w:line="560" w:lineRule="exact"/>
              <w:ind w:firstLine="561"/>
              <w:rPr>
                <w:rFonts w:ascii="华文仿宋" w:hAnsi="华文仿宋" w:eastAsia="华文仿宋"/>
                <w:b/>
                <w:color w:val="000000"/>
                <w:sz w:val="28"/>
              </w:rPr>
            </w:pPr>
            <w:r>
              <w:rPr>
                <w:rFonts w:hint="eastAsia" w:ascii="华文仿宋" w:hAnsi="华文仿宋" w:eastAsia="华文仿宋"/>
                <w:b/>
                <w:color w:val="000000"/>
                <w:sz w:val="28"/>
              </w:rPr>
              <w:t>一、事故简要经过、人员伤亡类别（职工、劳务工）、初步估计的直接经济损失、报告地方政府和建设单位时间</w:t>
            </w:r>
          </w:p>
          <w:p>
            <w:pPr>
              <w:spacing w:line="560" w:lineRule="exact"/>
              <w:ind w:firstLine="561"/>
              <w:rPr>
                <w:rFonts w:ascii="华文仿宋" w:hAnsi="华文仿宋" w:eastAsia="华文仿宋"/>
                <w:b/>
                <w:color w:val="000000"/>
                <w:sz w:val="28"/>
              </w:rPr>
            </w:pPr>
          </w:p>
          <w:p>
            <w:pPr>
              <w:spacing w:line="560" w:lineRule="exact"/>
              <w:ind w:firstLine="561"/>
              <w:rPr>
                <w:rFonts w:ascii="华文仿宋" w:hAnsi="华文仿宋" w:eastAsia="华文仿宋"/>
                <w:b/>
                <w:color w:val="000000"/>
                <w:sz w:val="28"/>
              </w:rPr>
            </w:pPr>
            <w:r>
              <w:rPr>
                <w:rFonts w:hint="eastAsia" w:ascii="华文仿宋" w:hAnsi="华文仿宋" w:eastAsia="华文仿宋"/>
                <w:b/>
                <w:color w:val="000000"/>
                <w:sz w:val="28"/>
              </w:rPr>
              <w:t>二、事故现场救援采取的主要措施</w:t>
            </w:r>
          </w:p>
          <w:p>
            <w:pPr>
              <w:spacing w:line="560" w:lineRule="exact"/>
              <w:ind w:firstLine="1968" w:firstLineChars="700"/>
              <w:rPr>
                <w:rFonts w:ascii="华文仿宋" w:hAnsi="华文仿宋" w:eastAsia="华文仿宋"/>
                <w:b/>
                <w:color w:val="000000"/>
                <w:sz w:val="28"/>
              </w:rPr>
            </w:pPr>
          </w:p>
          <w:p>
            <w:pPr>
              <w:spacing w:line="560" w:lineRule="exact"/>
              <w:ind w:firstLine="561"/>
              <w:rPr>
                <w:rFonts w:ascii="华文仿宋" w:hAnsi="华文仿宋" w:eastAsia="华文仿宋"/>
                <w:b/>
                <w:color w:val="000000"/>
                <w:sz w:val="28"/>
              </w:rPr>
            </w:pPr>
            <w:r>
              <w:rPr>
                <w:rFonts w:hint="eastAsia" w:ascii="华文仿宋" w:hAnsi="华文仿宋" w:eastAsia="华文仿宋"/>
                <w:b/>
                <w:color w:val="000000"/>
                <w:sz w:val="28"/>
              </w:rPr>
              <w:t>三、其他情况</w:t>
            </w:r>
          </w:p>
        </w:tc>
      </w:tr>
    </w:tbl>
    <w:p>
      <w:pPr>
        <w:ind w:firstLine="561"/>
        <w:rPr>
          <w:rFonts w:ascii="华文仿宋" w:hAnsi="华文仿宋" w:eastAsia="华文仿宋"/>
          <w:color w:val="000000"/>
          <w:sz w:val="28"/>
        </w:rPr>
      </w:pPr>
      <w:r>
        <w:rPr>
          <w:rFonts w:hint="eastAsia" w:ascii="华文仿宋" w:hAnsi="华文仿宋" w:eastAsia="华文仿宋"/>
          <w:b/>
          <w:color w:val="000000"/>
          <w:sz w:val="28"/>
        </w:rPr>
        <w:t>附：事故现场照片（</w:t>
      </w:r>
      <w:r>
        <w:rPr>
          <w:rFonts w:hint="eastAsia" w:ascii="华文仿宋" w:hAnsi="华文仿宋" w:eastAsia="华文仿宋"/>
          <w:color w:val="000000"/>
          <w:sz w:val="28"/>
        </w:rPr>
        <w:t>4张以上，能充分反映事故现场实际情况和全貌的电子版照片及说明）</w:t>
      </w: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pStyle w:val="3"/>
        <w:jc w:val="left"/>
      </w:pPr>
      <w:bookmarkStart w:id="91" w:name="_Toc1325"/>
      <w:r>
        <w:rPr>
          <w:rFonts w:hint="eastAsia" w:ascii="宋体" w:hAnsi="宋体" w:eastAsia="宋体" w:cs="宋体"/>
          <w:sz w:val="24"/>
          <w:szCs w:val="24"/>
        </w:rPr>
        <w:t>附件2</w:t>
      </w:r>
      <w:bookmarkEnd w:id="91"/>
      <w:r>
        <w:rPr>
          <w:rFonts w:hint="eastAsia" w:ascii="宋体" w:hAnsi="宋体" w:eastAsia="宋体" w:cs="宋体"/>
          <w:sz w:val="24"/>
          <w:szCs w:val="24"/>
        </w:rPr>
        <w:t xml:space="preserve"> </w:t>
      </w:r>
      <w:r>
        <w:rPr>
          <w:rFonts w:hint="eastAsia" w:ascii="宋体" w:hAnsi="宋体" w:eastAsia="宋体" w:cs="宋体"/>
        </w:rPr>
        <w:t xml:space="preserve"> </w:t>
      </w:r>
      <w:r>
        <w:rPr>
          <w:rFonts w:hint="eastAsia"/>
        </w:rPr>
        <w:t xml:space="preserve">     </w:t>
      </w:r>
    </w:p>
    <w:p>
      <w:pPr>
        <w:spacing w:line="560" w:lineRule="exact"/>
        <w:ind w:right="-58" w:firstLine="601"/>
        <w:jc w:val="center"/>
        <w:rPr>
          <w:rFonts w:ascii="华文仿宋" w:hAnsi="华文仿宋" w:eastAsia="华文仿宋"/>
          <w:color w:val="000000"/>
          <w:sz w:val="30"/>
          <w:szCs w:val="30"/>
        </w:rPr>
      </w:pPr>
      <w:r>
        <w:rPr>
          <w:rFonts w:hint="eastAsia" w:ascii="华文仿宋" w:hAnsi="华文仿宋" w:eastAsia="华文仿宋"/>
          <w:b/>
          <w:color w:val="000000"/>
          <w:sz w:val="30"/>
          <w:szCs w:val="30"/>
        </w:rPr>
        <w:t>事故报告手机短信格式</w:t>
      </w:r>
    </w:p>
    <w:p>
      <w:pPr>
        <w:spacing w:line="560" w:lineRule="exact"/>
        <w:ind w:right="-58" w:firstLine="600"/>
        <w:jc w:val="left"/>
        <w:rPr>
          <w:rFonts w:ascii="华文仿宋" w:hAnsi="华文仿宋" w:eastAsia="华文仿宋"/>
          <w:color w:val="000000"/>
          <w:sz w:val="30"/>
          <w:szCs w:val="30"/>
        </w:rPr>
      </w:pPr>
    </w:p>
    <w:p>
      <w:pPr>
        <w:spacing w:line="560" w:lineRule="exact"/>
        <w:ind w:right="-58" w:firstLine="600"/>
        <w:jc w:val="left"/>
        <w:rPr>
          <w:rFonts w:ascii="华文仿宋" w:hAnsi="华文仿宋" w:eastAsia="华文仿宋"/>
          <w:color w:val="000000"/>
          <w:sz w:val="30"/>
          <w:szCs w:val="30"/>
        </w:rPr>
      </w:pPr>
      <w:r>
        <w:rPr>
          <w:rFonts w:hint="eastAsia" w:ascii="华文仿宋" w:hAnsi="华文仿宋" w:eastAsia="华文仿宋"/>
          <w:color w:val="000000"/>
          <w:sz w:val="30"/>
          <w:szCs w:val="30"/>
        </w:rPr>
        <w:t>苏州中车建设工程有限公司：20xx年x月x日x时x分左右，在浙江省台州市，由xx公司承建的xx工程x工区，在xxx工序施工过程中，因xx原因，导致现场作业人员x人死亡（失踪）、x人重伤。事故已经于事发xx小时（分钟）内，报告当地安全生产监管部门。现场应急预案已启动，事故单位xxx领导已带队赶往现场，当地安监部门已xx，事故原因正在调查之中。</w:t>
      </w: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ind w:firstLine="480"/>
        <w:rPr>
          <w:rFonts w:ascii="宋体" w:hAnsi="宋体" w:eastAsia="宋体"/>
          <w:bCs/>
        </w:rPr>
      </w:pPr>
    </w:p>
    <w:p>
      <w:pPr>
        <w:widowControl w:val="0"/>
        <w:ind w:firstLine="480"/>
        <w:rPr>
          <w:rFonts w:ascii="宋体" w:hAnsi="宋体" w:eastAsia="宋体"/>
          <w:bCs/>
        </w:rPr>
      </w:pPr>
    </w:p>
    <w:p>
      <w:pPr>
        <w:widowControl w:val="0"/>
        <w:ind w:firstLine="480"/>
        <w:rPr>
          <w:rFonts w:ascii="宋体" w:hAnsi="宋体" w:eastAsia="宋体"/>
          <w:bCs/>
        </w:rPr>
      </w:pPr>
      <w:r>
        <w:rPr>
          <w:rFonts w:ascii="宋体" w:hAnsi="宋体" w:eastAsia="宋体"/>
          <w:bCs/>
        </w:rPr>
        <w:br w:type="page"/>
      </w:r>
    </w:p>
    <w:p>
      <w:pPr>
        <w:pStyle w:val="2"/>
      </w:pPr>
      <w:bookmarkStart w:id="92" w:name="_Toc30120"/>
      <w:bookmarkStart w:id="93" w:name="_Toc29297"/>
      <w:r>
        <w:rPr>
          <w:rFonts w:hint="eastAsia"/>
        </w:rPr>
        <w:t>八、消防安全管理制度</w:t>
      </w:r>
      <w:bookmarkEnd w:id="76"/>
      <w:bookmarkEnd w:id="92"/>
      <w:bookmarkEnd w:id="93"/>
      <w:bookmarkStart w:id="94" w:name="_Toc14408"/>
      <w:bookmarkStart w:id="95" w:name="_Toc517516699"/>
    </w:p>
    <w:p>
      <w:pPr>
        <w:pStyle w:val="3"/>
        <w:widowControl w:val="0"/>
      </w:pPr>
      <w:bookmarkStart w:id="96" w:name="_Toc4032"/>
      <w:r>
        <w:rPr>
          <w:rFonts w:hint="eastAsia"/>
        </w:rPr>
        <w:t>第一章 总则</w:t>
      </w:r>
      <w:bookmarkEnd w:id="94"/>
      <w:bookmarkEnd w:id="96"/>
    </w:p>
    <w:p>
      <w:pPr>
        <w:widowControl w:val="0"/>
        <w:ind w:firstLine="482"/>
        <w:rPr>
          <w:rFonts w:ascii="宋体" w:hAnsi="宋体" w:eastAsia="宋体"/>
          <w:bCs/>
        </w:rPr>
      </w:pPr>
      <w:r>
        <w:rPr>
          <w:rFonts w:hint="eastAsia" w:ascii="宋体" w:hAnsi="宋体" w:eastAsia="宋体"/>
          <w:b/>
        </w:rPr>
        <w:t>第一条</w:t>
      </w:r>
      <w:r>
        <w:rPr>
          <w:rFonts w:hint="eastAsia" w:ascii="宋体" w:hAnsi="宋体" w:eastAsia="宋体"/>
          <w:bCs/>
        </w:rPr>
        <w:t xml:space="preserve"> </w:t>
      </w:r>
      <w:bookmarkStart w:id="97" w:name="_Hlk525122744"/>
      <w:r>
        <w:rPr>
          <w:rFonts w:hint="eastAsia" w:ascii="宋体" w:hAnsi="宋体" w:eastAsia="宋体"/>
          <w:bCs/>
        </w:rPr>
        <w:t>为了加强</w:t>
      </w:r>
      <w:bookmarkStart w:id="98" w:name="_Hlk526060756"/>
      <w:r>
        <w:rPr>
          <w:rFonts w:hint="eastAsia" w:ascii="宋体" w:hAnsi="宋体" w:eastAsia="宋体"/>
          <w:bCs/>
        </w:rPr>
        <w:t>苏州中车建设工程有限公司台州市域</w:t>
      </w:r>
      <w:r>
        <w:rPr>
          <w:rFonts w:hint="eastAsia" w:eastAsia="宋体"/>
          <w:bCs/>
        </w:rPr>
        <w:t>铁路S1线一期PPP项目工程总承包项目部</w:t>
      </w:r>
      <w:bookmarkEnd w:id="98"/>
      <w:r>
        <w:rPr>
          <w:rFonts w:hint="eastAsia" w:eastAsia="宋体"/>
          <w:bCs/>
        </w:rPr>
        <w:t>（以下简称“总承包项目部”）</w:t>
      </w:r>
      <w:bookmarkEnd w:id="97"/>
      <w:r>
        <w:rPr>
          <w:rFonts w:hint="eastAsia" w:eastAsia="宋体"/>
          <w:bCs/>
        </w:rPr>
        <w:t>消防安全管理和应急救援工作，预防火灾和减少火灾危害，保障人身和财产安全，根据《</w:t>
      </w:r>
      <w:r>
        <w:rPr>
          <w:rFonts w:hint="eastAsia" w:ascii="宋体" w:hAnsi="宋体" w:eastAsia="宋体"/>
          <w:bCs/>
        </w:rPr>
        <w:t>中华人民共和国消防法》、《机关、团体、企业、事业</w:t>
      </w:r>
      <w:r>
        <w:rPr>
          <w:rFonts w:hint="eastAsia" w:eastAsia="宋体"/>
          <w:bCs/>
        </w:rPr>
        <w:t>单位消防安全管理制度》（公安部令第61号）、《火灾事故调查制度》（公安部令第121</w:t>
      </w:r>
      <w:r>
        <w:rPr>
          <w:rFonts w:hint="eastAsia" w:ascii="宋体" w:hAnsi="宋体" w:eastAsia="宋体"/>
          <w:bCs/>
        </w:rPr>
        <w:t>号）、等法律、法规与标准要求，结合总承包项目部的实际情况，制定本制度。</w:t>
      </w:r>
    </w:p>
    <w:p>
      <w:pPr>
        <w:widowControl w:val="0"/>
        <w:ind w:firstLine="482"/>
        <w:rPr>
          <w:rFonts w:ascii="宋体" w:hAnsi="宋体" w:eastAsia="宋体"/>
          <w:bCs/>
        </w:rPr>
      </w:pPr>
      <w:r>
        <w:rPr>
          <w:rFonts w:hint="eastAsia" w:ascii="宋体" w:hAnsi="宋体" w:eastAsia="宋体"/>
          <w:b/>
        </w:rPr>
        <w:t>第二条</w:t>
      </w:r>
      <w:r>
        <w:rPr>
          <w:rFonts w:hint="eastAsia" w:ascii="宋体" w:hAnsi="宋体" w:eastAsia="宋体"/>
          <w:bCs/>
        </w:rPr>
        <w:t xml:space="preserve"> 本制度适用于总承包项目部及各工区项目部的消防安全工作。</w:t>
      </w:r>
    </w:p>
    <w:p>
      <w:pPr>
        <w:widowControl w:val="0"/>
        <w:ind w:firstLine="482"/>
        <w:rPr>
          <w:rFonts w:ascii="宋体" w:hAnsi="宋体" w:eastAsia="宋体"/>
          <w:bCs/>
        </w:rPr>
      </w:pPr>
      <w:r>
        <w:rPr>
          <w:rFonts w:hint="eastAsia" w:ascii="宋体" w:hAnsi="宋体" w:eastAsia="宋体"/>
          <w:b/>
        </w:rPr>
        <w:t>第三条</w:t>
      </w:r>
      <w:r>
        <w:rPr>
          <w:rFonts w:hint="eastAsia" w:ascii="宋体" w:hAnsi="宋体" w:eastAsia="宋体"/>
          <w:bCs/>
        </w:rPr>
        <w:t xml:space="preserve"> 消防工作应遵循“预防为主、防消结合”的方针和“政府统一领导、部门依法监督、单位全面负责、公民积极参与”的原则，实行消防安全责任制，履行消防安全职责，保障消防安全。</w:t>
      </w:r>
    </w:p>
    <w:p>
      <w:pPr>
        <w:widowControl w:val="0"/>
        <w:ind w:firstLine="482"/>
        <w:rPr>
          <w:rFonts w:ascii="宋体" w:hAnsi="宋体" w:eastAsia="宋体"/>
          <w:bCs/>
        </w:rPr>
      </w:pPr>
      <w:r>
        <w:rPr>
          <w:rFonts w:hint="eastAsia" w:ascii="宋体" w:hAnsi="宋体" w:eastAsia="宋体"/>
          <w:b/>
        </w:rPr>
        <w:t>第四条</w:t>
      </w:r>
      <w:bookmarkStart w:id="99" w:name="_Hlk524974338"/>
      <w:r>
        <w:rPr>
          <w:rFonts w:hint="eastAsia" w:ascii="宋体" w:hAnsi="宋体" w:eastAsia="宋体"/>
          <w:bCs/>
        </w:rPr>
        <w:t xml:space="preserve"> 项目经理是总承包项目部的消防安全责任人，对项目的消防安全工作全面负责</w:t>
      </w:r>
      <w:bookmarkEnd w:id="99"/>
      <w:r>
        <w:rPr>
          <w:rFonts w:hint="eastAsia" w:ascii="宋体" w:hAnsi="宋体" w:eastAsia="宋体"/>
          <w:bCs/>
        </w:rPr>
        <w:t>。工区负责人是工区项目部的消防安全责任人，对工区项目的消防安全工作全面负责。总承包项目部各部门、工区自项目部的负责人是其部门消防安全工作的第一责任人。</w:t>
      </w:r>
    </w:p>
    <w:p>
      <w:pPr>
        <w:widowControl w:val="0"/>
        <w:ind w:firstLine="482"/>
        <w:rPr>
          <w:rFonts w:ascii="宋体" w:hAnsi="宋体" w:eastAsia="宋体"/>
          <w:bCs/>
        </w:rPr>
      </w:pPr>
      <w:r>
        <w:rPr>
          <w:rFonts w:hint="eastAsia" w:ascii="宋体" w:hAnsi="宋体" w:eastAsia="宋体"/>
          <w:b/>
        </w:rPr>
        <w:t xml:space="preserve">第五条 </w:t>
      </w:r>
      <w:r>
        <w:rPr>
          <w:rFonts w:hint="eastAsia" w:ascii="宋体" w:hAnsi="宋体" w:eastAsia="宋体"/>
          <w:bCs/>
        </w:rPr>
        <w:t>工区项目部应当逐级落实消防安全责任制和岗位消防安全责任制，明确各级和各岗位消防安全职责，确定各级、各岗位的消防安全责任人。</w:t>
      </w:r>
    </w:p>
    <w:p>
      <w:pPr>
        <w:widowControl w:val="0"/>
        <w:ind w:firstLine="482"/>
        <w:rPr>
          <w:rFonts w:ascii="宋体" w:hAnsi="宋体" w:eastAsia="宋体"/>
          <w:bCs/>
        </w:rPr>
      </w:pPr>
      <w:r>
        <w:rPr>
          <w:rFonts w:hint="eastAsia" w:ascii="宋体" w:hAnsi="宋体" w:eastAsia="宋体"/>
          <w:b/>
        </w:rPr>
        <w:t xml:space="preserve">第六条 </w:t>
      </w:r>
      <w:bookmarkStart w:id="100" w:name="_Hlk524974450"/>
      <w:r>
        <w:rPr>
          <w:rFonts w:hint="eastAsia" w:ascii="宋体" w:hAnsi="宋体" w:eastAsia="宋体"/>
          <w:bCs/>
        </w:rPr>
        <w:t>总承包项目部和工区项目部</w:t>
      </w:r>
      <w:bookmarkEnd w:id="100"/>
      <w:r>
        <w:rPr>
          <w:rFonts w:hint="eastAsia" w:ascii="宋体" w:hAnsi="宋体" w:eastAsia="宋体"/>
          <w:bCs/>
        </w:rPr>
        <w:t>要积极贯彻《中华人民共和国消防法》、《全民消防安全宣传教育纲要》，开展全员消防安全宣传教育活动，落实消防安全自查、火灾隐患自除、法律责任自负的法律责任，树立“全民消防、生命至上”的理念，不断提升全员消防安全素质。</w:t>
      </w:r>
    </w:p>
    <w:p>
      <w:pPr>
        <w:widowControl w:val="0"/>
        <w:ind w:firstLine="482"/>
        <w:rPr>
          <w:rFonts w:ascii="宋体" w:hAnsi="宋体" w:eastAsia="宋体"/>
          <w:bCs/>
        </w:rPr>
      </w:pPr>
      <w:r>
        <w:rPr>
          <w:rFonts w:hint="eastAsia" w:ascii="宋体" w:hAnsi="宋体" w:eastAsia="宋体"/>
          <w:b/>
        </w:rPr>
        <w:t xml:space="preserve">第七条 </w:t>
      </w:r>
      <w:r>
        <w:rPr>
          <w:rFonts w:hint="eastAsia" w:ascii="宋体" w:hAnsi="宋体" w:eastAsia="宋体"/>
          <w:bCs/>
        </w:rPr>
        <w:t>总承包项目部和工区项目部应积极推广使用先进的消防和应急救援技术、设备设施。</w:t>
      </w:r>
      <w:bookmarkStart w:id="101" w:name="_Toc26344"/>
    </w:p>
    <w:p>
      <w:pPr>
        <w:pStyle w:val="3"/>
        <w:widowControl w:val="0"/>
      </w:pPr>
      <w:bookmarkStart w:id="102" w:name="_Toc1273"/>
      <w:r>
        <w:rPr>
          <w:rFonts w:hint="eastAsia"/>
        </w:rPr>
        <w:t>第二章 职责</w:t>
      </w:r>
      <w:bookmarkEnd w:id="101"/>
      <w:bookmarkEnd w:id="102"/>
    </w:p>
    <w:p>
      <w:pPr>
        <w:widowControl w:val="0"/>
        <w:ind w:firstLine="482"/>
        <w:rPr>
          <w:rFonts w:ascii="宋体" w:hAnsi="宋体" w:eastAsia="宋体"/>
          <w:bCs/>
        </w:rPr>
      </w:pPr>
      <w:r>
        <w:rPr>
          <w:rFonts w:hint="eastAsia" w:ascii="宋体" w:hAnsi="宋体" w:eastAsia="宋体"/>
          <w:b/>
        </w:rPr>
        <w:t>第八条</w:t>
      </w:r>
      <w:r>
        <w:rPr>
          <w:rFonts w:hint="eastAsia" w:ascii="宋体" w:hAnsi="宋体" w:eastAsia="宋体"/>
          <w:bCs/>
        </w:rPr>
        <w:t xml:space="preserve"> 安全生产领导小组全面负责项目消防安全管理的领导工作，总承包项目部要成立相应消防工作领导小组、办公室及义务消防队，开展日常消防管理工作。总承包项目部安质环保部为项目消防安全管理的归口部门，并履行如下职责：</w:t>
      </w:r>
    </w:p>
    <w:p>
      <w:pPr>
        <w:widowControl w:val="0"/>
        <w:numPr>
          <w:ilvl w:val="0"/>
          <w:numId w:val="3"/>
        </w:numPr>
        <w:ind w:firstLine="480"/>
        <w:rPr>
          <w:rFonts w:ascii="宋体" w:hAnsi="宋体" w:eastAsia="宋体"/>
          <w:bCs/>
        </w:rPr>
      </w:pPr>
      <w:r>
        <w:rPr>
          <w:rFonts w:hint="eastAsia" w:ascii="宋体" w:hAnsi="宋体" w:eastAsia="宋体"/>
          <w:bCs/>
        </w:rPr>
        <w:t>贯彻落实国家消防安全管理的法律、法规与标准；</w:t>
      </w:r>
    </w:p>
    <w:p>
      <w:pPr>
        <w:widowControl w:val="0"/>
        <w:numPr>
          <w:ilvl w:val="0"/>
          <w:numId w:val="3"/>
        </w:numPr>
        <w:ind w:firstLine="480"/>
        <w:rPr>
          <w:rFonts w:ascii="宋体" w:hAnsi="宋体" w:eastAsia="宋体"/>
          <w:bCs/>
        </w:rPr>
      </w:pPr>
      <w:r>
        <w:rPr>
          <w:rFonts w:hint="eastAsia" w:ascii="宋体" w:hAnsi="宋体" w:eastAsia="宋体"/>
          <w:bCs/>
        </w:rPr>
        <w:t>贯彻执行上级公司消防安全相关制度；</w:t>
      </w:r>
    </w:p>
    <w:p>
      <w:pPr>
        <w:widowControl w:val="0"/>
        <w:numPr>
          <w:ilvl w:val="0"/>
          <w:numId w:val="3"/>
        </w:numPr>
        <w:ind w:firstLine="480"/>
        <w:rPr>
          <w:rFonts w:ascii="宋体" w:hAnsi="宋体" w:eastAsia="宋体"/>
          <w:bCs/>
        </w:rPr>
      </w:pPr>
      <w:r>
        <w:rPr>
          <w:rFonts w:hint="eastAsia" w:ascii="宋体" w:hAnsi="宋体" w:eastAsia="宋体"/>
          <w:bCs/>
        </w:rPr>
        <w:t>积极开展消防宣传活动，加强对本项目人员的消防安全教育；</w:t>
      </w:r>
    </w:p>
    <w:p>
      <w:pPr>
        <w:widowControl w:val="0"/>
        <w:numPr>
          <w:ilvl w:val="0"/>
          <w:numId w:val="3"/>
        </w:numPr>
        <w:ind w:firstLine="480"/>
        <w:rPr>
          <w:rFonts w:ascii="宋体" w:hAnsi="宋体" w:eastAsia="宋体"/>
          <w:bCs/>
        </w:rPr>
      </w:pPr>
      <w:r>
        <w:rPr>
          <w:rFonts w:hint="eastAsia" w:ascii="宋体" w:hAnsi="宋体" w:eastAsia="宋体"/>
          <w:bCs/>
        </w:rPr>
        <w:t>组织开展消防安全检查及隐患排查治理；</w:t>
      </w:r>
    </w:p>
    <w:p>
      <w:pPr>
        <w:widowControl w:val="0"/>
        <w:numPr>
          <w:ilvl w:val="0"/>
          <w:numId w:val="3"/>
        </w:numPr>
        <w:ind w:firstLine="480"/>
        <w:rPr>
          <w:rFonts w:ascii="宋体" w:hAnsi="宋体" w:eastAsia="宋体"/>
          <w:bCs/>
        </w:rPr>
      </w:pPr>
      <w:r>
        <w:rPr>
          <w:rFonts w:hint="eastAsia" w:ascii="宋体" w:hAnsi="宋体" w:eastAsia="宋体"/>
          <w:bCs/>
        </w:rPr>
        <w:t>组织开展消防安全的培训工作；</w:t>
      </w:r>
    </w:p>
    <w:p>
      <w:pPr>
        <w:widowControl w:val="0"/>
        <w:numPr>
          <w:ilvl w:val="0"/>
          <w:numId w:val="3"/>
        </w:numPr>
        <w:ind w:firstLine="480"/>
        <w:rPr>
          <w:rFonts w:ascii="宋体" w:hAnsi="宋体" w:eastAsia="宋体"/>
          <w:bCs/>
        </w:rPr>
      </w:pPr>
      <w:r>
        <w:rPr>
          <w:rFonts w:hint="eastAsia" w:ascii="宋体" w:hAnsi="宋体" w:eastAsia="宋体"/>
          <w:bCs/>
        </w:rPr>
        <w:t>按照国家标准、行业标准配置消防设施、器材，设置消防安全标志；</w:t>
      </w:r>
    </w:p>
    <w:p>
      <w:pPr>
        <w:widowControl w:val="0"/>
        <w:numPr>
          <w:ilvl w:val="0"/>
          <w:numId w:val="3"/>
        </w:numPr>
        <w:ind w:firstLine="480"/>
        <w:rPr>
          <w:rFonts w:ascii="宋体" w:hAnsi="宋体" w:eastAsia="宋体"/>
          <w:bCs/>
        </w:rPr>
      </w:pPr>
      <w:r>
        <w:rPr>
          <w:rFonts w:hint="eastAsia" w:ascii="宋体" w:hAnsi="宋体" w:eastAsia="宋体"/>
          <w:bCs/>
        </w:rPr>
        <w:t>对建筑消防设施定期进行全面检测，确保完好有效；</w:t>
      </w:r>
    </w:p>
    <w:p>
      <w:pPr>
        <w:widowControl w:val="0"/>
        <w:numPr>
          <w:ilvl w:val="0"/>
          <w:numId w:val="3"/>
        </w:numPr>
        <w:ind w:firstLine="480"/>
        <w:rPr>
          <w:rFonts w:ascii="宋体" w:hAnsi="宋体" w:eastAsia="宋体"/>
          <w:bCs/>
        </w:rPr>
      </w:pPr>
      <w:r>
        <w:rPr>
          <w:rFonts w:hint="eastAsia" w:ascii="宋体" w:hAnsi="宋体" w:eastAsia="宋体"/>
          <w:bCs/>
        </w:rPr>
        <w:t>组织防火检查，及时消除火灾隐患；</w:t>
      </w:r>
    </w:p>
    <w:p>
      <w:pPr>
        <w:widowControl w:val="0"/>
        <w:numPr>
          <w:ilvl w:val="0"/>
          <w:numId w:val="3"/>
        </w:numPr>
        <w:ind w:firstLine="480"/>
        <w:rPr>
          <w:rFonts w:ascii="宋体" w:hAnsi="宋体" w:eastAsia="宋体"/>
          <w:bCs/>
        </w:rPr>
      </w:pPr>
      <w:r>
        <w:rPr>
          <w:rFonts w:hint="eastAsia" w:ascii="宋体" w:hAnsi="宋体" w:eastAsia="宋体"/>
          <w:bCs/>
        </w:rPr>
        <w:t>法律、法规制度的其他消防安全职责。</w:t>
      </w:r>
    </w:p>
    <w:p>
      <w:pPr>
        <w:widowControl w:val="0"/>
        <w:ind w:firstLine="482"/>
        <w:rPr>
          <w:rFonts w:ascii="宋体" w:hAnsi="宋体" w:eastAsia="宋体"/>
          <w:bCs/>
        </w:rPr>
      </w:pPr>
      <w:r>
        <w:rPr>
          <w:rFonts w:hint="eastAsia" w:ascii="宋体" w:hAnsi="宋体" w:eastAsia="宋体"/>
          <w:b/>
        </w:rPr>
        <w:t xml:space="preserve">第九条 </w:t>
      </w:r>
      <w:r>
        <w:rPr>
          <w:rFonts w:hint="eastAsia" w:ascii="宋体" w:hAnsi="宋体" w:eastAsia="宋体"/>
        </w:rPr>
        <w:t>各工区项目部</w:t>
      </w:r>
      <w:r>
        <w:rPr>
          <w:rFonts w:hint="eastAsia" w:ascii="宋体" w:hAnsi="宋体" w:eastAsia="宋体"/>
          <w:bCs/>
        </w:rPr>
        <w:t>要在总承包项目部安全生产领导小组的统一领导下成立消防工作领导小组，配备专（兼）职消防管理人员，重点消防工点应建立义务消防队，开展日常消防管理工作。并履行如下职责：</w:t>
      </w:r>
    </w:p>
    <w:p>
      <w:pPr>
        <w:widowControl w:val="0"/>
        <w:ind w:firstLine="480"/>
        <w:rPr>
          <w:rFonts w:ascii="宋体" w:hAnsi="宋体" w:eastAsia="宋体"/>
          <w:bCs/>
        </w:rPr>
      </w:pPr>
      <w:r>
        <w:rPr>
          <w:rFonts w:hint="eastAsia" w:ascii="宋体" w:hAnsi="宋体" w:eastAsia="宋体"/>
          <w:bCs/>
        </w:rPr>
        <w:t>（一）贯彻落实国家消防安全管理的法律、法规与标准；</w:t>
      </w:r>
    </w:p>
    <w:p>
      <w:pPr>
        <w:widowControl w:val="0"/>
        <w:ind w:firstLine="480"/>
        <w:rPr>
          <w:rFonts w:ascii="宋体" w:hAnsi="宋体" w:eastAsia="宋体"/>
          <w:bCs/>
        </w:rPr>
      </w:pPr>
      <w:r>
        <w:rPr>
          <w:rFonts w:hint="eastAsia" w:ascii="宋体" w:hAnsi="宋体" w:eastAsia="宋体"/>
          <w:bCs/>
        </w:rPr>
        <w:t>（二）贯彻执行上级消防安全相关制度；</w:t>
      </w:r>
    </w:p>
    <w:p>
      <w:pPr>
        <w:widowControl w:val="0"/>
        <w:ind w:firstLine="480"/>
        <w:rPr>
          <w:rFonts w:ascii="宋体" w:hAnsi="宋体" w:eastAsia="宋体"/>
          <w:bCs/>
        </w:rPr>
      </w:pPr>
      <w:r>
        <w:rPr>
          <w:rFonts w:hint="eastAsia" w:ascii="宋体" w:hAnsi="宋体" w:eastAsia="宋体"/>
          <w:bCs/>
        </w:rPr>
        <w:t>（三）积极开展消防宣传活动，加强对本工区人员的消防安全教育；</w:t>
      </w:r>
    </w:p>
    <w:p>
      <w:pPr>
        <w:widowControl w:val="0"/>
        <w:ind w:firstLine="480"/>
        <w:rPr>
          <w:rFonts w:ascii="宋体" w:hAnsi="宋体" w:eastAsia="宋体"/>
          <w:bCs/>
        </w:rPr>
      </w:pPr>
      <w:r>
        <w:rPr>
          <w:rFonts w:hint="eastAsia" w:ascii="宋体" w:hAnsi="宋体" w:eastAsia="宋体"/>
          <w:bCs/>
        </w:rPr>
        <w:t>（四）组织开展消防安全检查及隐患排查治理；</w:t>
      </w:r>
    </w:p>
    <w:p>
      <w:pPr>
        <w:widowControl w:val="0"/>
        <w:ind w:firstLine="480"/>
        <w:rPr>
          <w:rFonts w:ascii="宋体" w:hAnsi="宋体" w:eastAsia="宋体"/>
          <w:bCs/>
        </w:rPr>
      </w:pPr>
      <w:r>
        <w:rPr>
          <w:rFonts w:hint="eastAsia" w:ascii="宋体" w:hAnsi="宋体" w:eastAsia="宋体"/>
          <w:bCs/>
        </w:rPr>
        <w:t>（五）组织开展消防安全的培训工作；</w:t>
      </w:r>
    </w:p>
    <w:p>
      <w:pPr>
        <w:widowControl w:val="0"/>
        <w:ind w:firstLine="480"/>
        <w:rPr>
          <w:rFonts w:ascii="宋体" w:hAnsi="宋体" w:eastAsia="宋体"/>
          <w:bCs/>
        </w:rPr>
      </w:pPr>
      <w:r>
        <w:rPr>
          <w:rFonts w:hint="eastAsia" w:ascii="宋体" w:hAnsi="宋体" w:eastAsia="宋体"/>
          <w:bCs/>
        </w:rPr>
        <w:t>（六）按照国家标准、行业标准配置消防设施、器材，设置消防安全标志；</w:t>
      </w:r>
    </w:p>
    <w:p>
      <w:pPr>
        <w:widowControl w:val="0"/>
        <w:ind w:firstLine="480"/>
        <w:rPr>
          <w:rFonts w:ascii="宋体" w:hAnsi="宋体" w:eastAsia="宋体"/>
          <w:bCs/>
        </w:rPr>
      </w:pPr>
      <w:r>
        <w:rPr>
          <w:rFonts w:hint="eastAsia" w:ascii="宋体" w:hAnsi="宋体" w:eastAsia="宋体"/>
          <w:bCs/>
        </w:rPr>
        <w:t>（七）对本工区建筑消防设施定期进行全面检测，确保完好有效；</w:t>
      </w:r>
    </w:p>
    <w:p>
      <w:pPr>
        <w:widowControl w:val="0"/>
        <w:ind w:firstLine="480"/>
        <w:rPr>
          <w:rFonts w:ascii="宋体" w:hAnsi="宋体" w:eastAsia="宋体"/>
          <w:bCs/>
        </w:rPr>
      </w:pPr>
      <w:r>
        <w:rPr>
          <w:rFonts w:hint="eastAsia" w:ascii="宋体" w:hAnsi="宋体" w:eastAsia="宋体"/>
          <w:bCs/>
        </w:rPr>
        <w:t>（八）组织防火检查，及时消除火灾隐患；</w:t>
      </w:r>
    </w:p>
    <w:p>
      <w:pPr>
        <w:widowControl w:val="0"/>
        <w:ind w:firstLine="480"/>
        <w:rPr>
          <w:rFonts w:ascii="宋体" w:hAnsi="宋体" w:eastAsia="宋体"/>
          <w:bCs/>
        </w:rPr>
      </w:pPr>
      <w:r>
        <w:rPr>
          <w:rFonts w:hint="eastAsia" w:ascii="宋体" w:hAnsi="宋体" w:eastAsia="宋体"/>
          <w:bCs/>
        </w:rPr>
        <w:t>（九）法律、法规制度的其他消防安全职责。</w:t>
      </w:r>
    </w:p>
    <w:p>
      <w:pPr>
        <w:widowControl w:val="0"/>
        <w:ind w:firstLine="482"/>
        <w:rPr>
          <w:rFonts w:ascii="宋体" w:hAnsi="宋体" w:eastAsia="宋体"/>
          <w:bCs/>
        </w:rPr>
      </w:pPr>
      <w:r>
        <w:rPr>
          <w:rFonts w:hint="eastAsia" w:ascii="宋体" w:hAnsi="宋体" w:eastAsia="宋体"/>
          <w:b/>
        </w:rPr>
        <w:t>第十条</w:t>
      </w:r>
      <w:r>
        <w:rPr>
          <w:rFonts w:hint="eastAsia" w:ascii="宋体" w:hAnsi="宋体" w:eastAsia="宋体"/>
          <w:bCs/>
        </w:rPr>
        <w:t xml:space="preserve"> 义务消防队应当履行的职责：</w:t>
      </w:r>
    </w:p>
    <w:p>
      <w:pPr>
        <w:widowControl w:val="0"/>
        <w:ind w:firstLine="480"/>
        <w:rPr>
          <w:rFonts w:ascii="宋体" w:hAnsi="宋体" w:eastAsia="宋体"/>
          <w:bCs/>
        </w:rPr>
      </w:pPr>
      <w:r>
        <w:rPr>
          <w:rFonts w:hint="eastAsia" w:ascii="宋体" w:hAnsi="宋体" w:eastAsia="宋体"/>
          <w:bCs/>
        </w:rPr>
        <w:t>（一）积极开展培训活动；</w:t>
      </w:r>
    </w:p>
    <w:p>
      <w:pPr>
        <w:widowControl w:val="0"/>
        <w:ind w:firstLine="480"/>
        <w:rPr>
          <w:rFonts w:ascii="宋体" w:hAnsi="宋体" w:eastAsia="宋体"/>
          <w:bCs/>
        </w:rPr>
      </w:pPr>
      <w:r>
        <w:rPr>
          <w:rFonts w:hint="eastAsia" w:ascii="宋体" w:hAnsi="宋体" w:eastAsia="宋体"/>
          <w:bCs/>
        </w:rPr>
        <w:t>（二）所有成员应达到“三懂三会”，即：三懂，懂得本岗位生产过程中的火灾危险性、懂得预防火灾的措施、懂得扑救初起火灾的方法；三会，会报火警、会使用各种消防器材、会扑救初起火灾；</w:t>
      </w:r>
    </w:p>
    <w:p>
      <w:pPr>
        <w:widowControl w:val="0"/>
        <w:ind w:firstLine="480"/>
        <w:rPr>
          <w:rFonts w:ascii="宋体" w:hAnsi="宋体" w:eastAsia="宋体"/>
          <w:bCs/>
        </w:rPr>
      </w:pPr>
      <w:r>
        <w:rPr>
          <w:rFonts w:hint="eastAsia" w:ascii="宋体" w:hAnsi="宋体" w:eastAsia="宋体"/>
          <w:bCs/>
        </w:rPr>
        <w:t>（三）负责公司本部或本项目发生消防事故的应急处理。</w:t>
      </w:r>
    </w:p>
    <w:p>
      <w:pPr>
        <w:widowControl w:val="0"/>
        <w:ind w:firstLine="482"/>
        <w:rPr>
          <w:rFonts w:ascii="宋体" w:hAnsi="宋体" w:eastAsia="宋体"/>
          <w:bCs/>
        </w:rPr>
      </w:pPr>
      <w:r>
        <w:rPr>
          <w:rFonts w:hint="eastAsia" w:ascii="宋体" w:hAnsi="宋体" w:eastAsia="宋体"/>
          <w:b/>
        </w:rPr>
        <w:t>第十一条</w:t>
      </w:r>
      <w:r>
        <w:rPr>
          <w:rFonts w:hint="eastAsia" w:ascii="宋体" w:hAnsi="宋体" w:eastAsia="宋体"/>
          <w:bCs/>
        </w:rPr>
        <w:t xml:space="preserve"> 工区项目部的消防安全责任人应当履行下列消防安全职责：</w:t>
      </w:r>
    </w:p>
    <w:p>
      <w:pPr>
        <w:widowControl w:val="0"/>
        <w:ind w:firstLine="480"/>
        <w:rPr>
          <w:rFonts w:ascii="宋体" w:hAnsi="宋体" w:eastAsia="宋体"/>
          <w:bCs/>
        </w:rPr>
      </w:pPr>
      <w:r>
        <w:rPr>
          <w:rFonts w:hint="eastAsia" w:ascii="宋体" w:hAnsi="宋体" w:eastAsia="宋体"/>
          <w:bCs/>
        </w:rPr>
        <w:t>（一）贯彻执行消防法规，保障工区项目部消防安全符合制度，掌握本工区的消防安全情况；</w:t>
      </w:r>
    </w:p>
    <w:p>
      <w:pPr>
        <w:widowControl w:val="0"/>
        <w:ind w:firstLine="480"/>
        <w:rPr>
          <w:rFonts w:ascii="宋体" w:hAnsi="宋体" w:eastAsia="宋体"/>
          <w:bCs/>
        </w:rPr>
      </w:pPr>
      <w:r>
        <w:rPr>
          <w:rFonts w:hint="eastAsia" w:ascii="宋体" w:hAnsi="宋体" w:eastAsia="宋体"/>
          <w:bCs/>
        </w:rPr>
        <w:t>（二）将消防工作与本工区的生产、经营、管理等活动统筹安排；</w:t>
      </w:r>
    </w:p>
    <w:p>
      <w:pPr>
        <w:widowControl w:val="0"/>
        <w:ind w:firstLine="480"/>
        <w:rPr>
          <w:rFonts w:ascii="宋体" w:hAnsi="宋体" w:eastAsia="宋体"/>
          <w:bCs/>
        </w:rPr>
      </w:pPr>
      <w:r>
        <w:rPr>
          <w:rFonts w:hint="eastAsia" w:ascii="宋体" w:hAnsi="宋体" w:eastAsia="宋体"/>
          <w:bCs/>
        </w:rPr>
        <w:t>（三）为本工区的消防安全提供必要的经费和组织保障；</w:t>
      </w:r>
    </w:p>
    <w:p>
      <w:pPr>
        <w:widowControl w:val="0"/>
        <w:ind w:firstLine="480"/>
        <w:rPr>
          <w:rFonts w:ascii="宋体" w:hAnsi="宋体" w:eastAsia="宋体"/>
          <w:bCs/>
        </w:rPr>
      </w:pPr>
      <w:r>
        <w:rPr>
          <w:rFonts w:hint="eastAsia" w:ascii="宋体" w:hAnsi="宋体" w:eastAsia="宋体"/>
          <w:bCs/>
        </w:rPr>
        <w:t>（四）确定逐级消防安全责任，批准实施消防安全制度和保障消防安全的操作规程；</w:t>
      </w:r>
    </w:p>
    <w:p>
      <w:pPr>
        <w:widowControl w:val="0"/>
        <w:ind w:firstLine="480"/>
        <w:rPr>
          <w:rFonts w:ascii="宋体" w:hAnsi="宋体" w:eastAsia="宋体"/>
          <w:bCs/>
        </w:rPr>
      </w:pPr>
      <w:r>
        <w:rPr>
          <w:rFonts w:hint="eastAsia" w:ascii="宋体" w:hAnsi="宋体" w:eastAsia="宋体"/>
          <w:bCs/>
        </w:rPr>
        <w:t>（五）组织防火检查，督促落实火灾隐患整改，及时处理涉及消防安全的重大问题；</w:t>
      </w:r>
    </w:p>
    <w:p>
      <w:pPr>
        <w:widowControl w:val="0"/>
        <w:ind w:firstLine="480"/>
        <w:rPr>
          <w:rFonts w:ascii="宋体" w:hAnsi="宋体" w:eastAsia="宋体"/>
          <w:bCs/>
        </w:rPr>
      </w:pPr>
      <w:r>
        <w:rPr>
          <w:rFonts w:hint="eastAsia" w:ascii="宋体" w:hAnsi="宋体" w:eastAsia="宋体"/>
          <w:bCs/>
        </w:rPr>
        <w:t>（六）根据消防法规的制度建立专职（或义务）消防队；</w:t>
      </w:r>
    </w:p>
    <w:p>
      <w:pPr>
        <w:widowControl w:val="0"/>
        <w:ind w:firstLine="480"/>
        <w:rPr>
          <w:rFonts w:ascii="宋体" w:hAnsi="宋体" w:eastAsia="宋体"/>
          <w:bCs/>
        </w:rPr>
      </w:pPr>
      <w:r>
        <w:rPr>
          <w:rFonts w:hint="eastAsia" w:ascii="宋体" w:hAnsi="宋体" w:eastAsia="宋体"/>
          <w:bCs/>
        </w:rPr>
        <w:t>（七）组织制定符合本工区实际的灭火和应急疏散预案，并实施演练。</w:t>
      </w:r>
    </w:p>
    <w:p>
      <w:pPr>
        <w:widowControl w:val="0"/>
        <w:ind w:firstLine="482"/>
        <w:rPr>
          <w:rFonts w:ascii="宋体" w:hAnsi="宋体" w:eastAsia="宋体"/>
          <w:bCs/>
        </w:rPr>
      </w:pPr>
      <w:r>
        <w:rPr>
          <w:rFonts w:hint="eastAsia" w:ascii="宋体" w:hAnsi="宋体" w:eastAsia="宋体"/>
          <w:b/>
        </w:rPr>
        <w:t>第十二条</w:t>
      </w:r>
      <w:r>
        <w:rPr>
          <w:rFonts w:hint="eastAsia" w:ascii="宋体" w:hAnsi="宋体" w:eastAsia="宋体"/>
          <w:bCs/>
        </w:rPr>
        <w:t xml:space="preserve"> 各部门的负责人应当履行下列消防安全职责：</w:t>
      </w:r>
    </w:p>
    <w:p>
      <w:pPr>
        <w:widowControl w:val="0"/>
        <w:ind w:firstLine="480"/>
        <w:rPr>
          <w:rFonts w:ascii="宋体" w:hAnsi="宋体" w:eastAsia="宋体"/>
          <w:bCs/>
        </w:rPr>
      </w:pPr>
      <w:r>
        <w:rPr>
          <w:rFonts w:hint="eastAsia" w:ascii="宋体" w:hAnsi="宋体" w:eastAsia="宋体"/>
          <w:bCs/>
        </w:rPr>
        <w:t>（一）贯彻执行消防法规，保障本部门消防安全符合制度，掌握本部门的消防安全情况；</w:t>
      </w:r>
    </w:p>
    <w:p>
      <w:pPr>
        <w:widowControl w:val="0"/>
        <w:ind w:firstLine="480"/>
        <w:rPr>
          <w:rFonts w:ascii="宋体" w:hAnsi="宋体" w:eastAsia="宋体"/>
          <w:bCs/>
        </w:rPr>
      </w:pPr>
      <w:r>
        <w:rPr>
          <w:rFonts w:hint="eastAsia" w:ascii="宋体" w:hAnsi="宋体" w:eastAsia="宋体"/>
          <w:bCs/>
        </w:rPr>
        <w:t>（二）将消防工作与本部门的生产、经营、管理等活动统筹安排；</w:t>
      </w:r>
    </w:p>
    <w:p>
      <w:pPr>
        <w:widowControl w:val="0"/>
        <w:ind w:firstLine="480"/>
        <w:rPr>
          <w:rFonts w:ascii="宋体" w:hAnsi="宋体" w:eastAsia="宋体"/>
          <w:bCs/>
        </w:rPr>
      </w:pPr>
      <w:r>
        <w:rPr>
          <w:rFonts w:hint="eastAsia" w:ascii="宋体" w:hAnsi="宋体" w:eastAsia="宋体"/>
          <w:bCs/>
        </w:rPr>
        <w:t>（三）为本部门的消防安全提供必要的经费和组织保障；</w:t>
      </w:r>
    </w:p>
    <w:p>
      <w:pPr>
        <w:widowControl w:val="0"/>
        <w:ind w:firstLine="480"/>
        <w:rPr>
          <w:rFonts w:ascii="宋体" w:hAnsi="宋体" w:eastAsia="宋体"/>
          <w:bCs/>
        </w:rPr>
      </w:pPr>
      <w:r>
        <w:rPr>
          <w:rFonts w:hint="eastAsia" w:ascii="宋体" w:hAnsi="宋体" w:eastAsia="宋体"/>
          <w:bCs/>
        </w:rPr>
        <w:t>（四）确定逐级落实消防安全责任；贯彻执行项目消防安全制度和保障消防安全的操作规程；</w:t>
      </w:r>
    </w:p>
    <w:p>
      <w:pPr>
        <w:widowControl w:val="0"/>
        <w:ind w:firstLine="480"/>
        <w:rPr>
          <w:rFonts w:ascii="宋体" w:hAnsi="宋体" w:eastAsia="宋体"/>
          <w:bCs/>
        </w:rPr>
      </w:pPr>
      <w:r>
        <w:rPr>
          <w:rFonts w:hint="eastAsia" w:ascii="宋体" w:hAnsi="宋体" w:eastAsia="宋体"/>
          <w:bCs/>
        </w:rPr>
        <w:t>（五）组织防火检查，督促落实本部门火灾隐患整改，及时处理涉及消防安全的重大问题；</w:t>
      </w:r>
    </w:p>
    <w:p>
      <w:pPr>
        <w:widowControl w:val="0"/>
        <w:ind w:firstLine="480"/>
        <w:rPr>
          <w:rFonts w:ascii="宋体" w:hAnsi="宋体" w:eastAsia="宋体"/>
          <w:bCs/>
        </w:rPr>
      </w:pPr>
      <w:r>
        <w:rPr>
          <w:rFonts w:hint="eastAsia" w:ascii="宋体" w:hAnsi="宋体" w:eastAsia="宋体"/>
          <w:bCs/>
        </w:rPr>
        <w:t>（六）根据消防法规的制度及项目制度建立部门消防工作领导小组及配备相应专职（或兼职）消防管理人员；</w:t>
      </w:r>
    </w:p>
    <w:p>
      <w:pPr>
        <w:widowControl w:val="0"/>
        <w:ind w:firstLine="480"/>
        <w:rPr>
          <w:rFonts w:ascii="宋体" w:hAnsi="宋体" w:eastAsia="宋体"/>
          <w:bCs/>
        </w:rPr>
      </w:pPr>
      <w:r>
        <w:rPr>
          <w:rFonts w:hint="eastAsia" w:ascii="宋体" w:hAnsi="宋体" w:eastAsia="宋体"/>
          <w:bCs/>
        </w:rPr>
        <w:t>（七）重点消防部门应组织制定符合本部门实际操作的灭火和应急疏散预案，并实施演练。</w:t>
      </w:r>
    </w:p>
    <w:p>
      <w:pPr>
        <w:widowControl w:val="0"/>
        <w:ind w:firstLine="482"/>
        <w:rPr>
          <w:rFonts w:ascii="宋体" w:hAnsi="宋体" w:eastAsia="宋体"/>
          <w:bCs/>
        </w:rPr>
      </w:pPr>
      <w:r>
        <w:rPr>
          <w:rFonts w:hint="eastAsia" w:ascii="宋体" w:hAnsi="宋体" w:eastAsia="宋体"/>
          <w:b/>
        </w:rPr>
        <w:t>第十三条</w:t>
      </w:r>
      <w:r>
        <w:rPr>
          <w:rFonts w:hint="eastAsia" w:ascii="宋体" w:hAnsi="宋体" w:eastAsia="宋体"/>
          <w:bCs/>
        </w:rPr>
        <w:t xml:space="preserve"> 项目负责人应当履行下列消防安全职责：</w:t>
      </w:r>
    </w:p>
    <w:p>
      <w:pPr>
        <w:widowControl w:val="0"/>
        <w:ind w:firstLine="480"/>
        <w:rPr>
          <w:rFonts w:ascii="宋体" w:hAnsi="宋体" w:eastAsia="宋体"/>
          <w:bCs/>
        </w:rPr>
      </w:pPr>
      <w:r>
        <w:rPr>
          <w:rFonts w:hint="eastAsia" w:ascii="宋体" w:hAnsi="宋体" w:eastAsia="宋体"/>
          <w:bCs/>
        </w:rPr>
        <w:t>（一）贯彻执行消防法规，保障本项目消防安全符合制度，掌握本项目的消防安全情况；</w:t>
      </w:r>
    </w:p>
    <w:p>
      <w:pPr>
        <w:widowControl w:val="0"/>
        <w:ind w:firstLine="480"/>
        <w:rPr>
          <w:rFonts w:ascii="宋体" w:hAnsi="宋体" w:eastAsia="宋体"/>
          <w:bCs/>
        </w:rPr>
      </w:pPr>
      <w:r>
        <w:rPr>
          <w:rFonts w:hint="eastAsia" w:ascii="宋体" w:hAnsi="宋体" w:eastAsia="宋体"/>
          <w:bCs/>
        </w:rPr>
        <w:t>（二）将消防工作与本项目的生产、经营、管理等活动统筹安排；</w:t>
      </w:r>
    </w:p>
    <w:p>
      <w:pPr>
        <w:widowControl w:val="0"/>
        <w:ind w:firstLine="480"/>
        <w:rPr>
          <w:rFonts w:ascii="宋体" w:hAnsi="宋体" w:eastAsia="宋体"/>
          <w:bCs/>
        </w:rPr>
      </w:pPr>
      <w:r>
        <w:rPr>
          <w:rFonts w:hint="eastAsia" w:ascii="宋体" w:hAnsi="宋体" w:eastAsia="宋体"/>
          <w:bCs/>
        </w:rPr>
        <w:t>（三）为本项目的消防安全提供必要的经费和组织保障；</w:t>
      </w:r>
    </w:p>
    <w:p>
      <w:pPr>
        <w:widowControl w:val="0"/>
        <w:ind w:firstLine="480"/>
        <w:rPr>
          <w:rFonts w:ascii="宋体" w:hAnsi="宋体" w:eastAsia="宋体"/>
          <w:bCs/>
        </w:rPr>
      </w:pPr>
      <w:r>
        <w:rPr>
          <w:rFonts w:hint="eastAsia" w:ascii="宋体" w:hAnsi="宋体" w:eastAsia="宋体"/>
          <w:bCs/>
        </w:rPr>
        <w:t>（四）确定逐级落实消防安全责任；贯彻执行公司消防安全制度和保障消防安全的操作规程；</w:t>
      </w:r>
    </w:p>
    <w:p>
      <w:pPr>
        <w:widowControl w:val="0"/>
        <w:ind w:firstLine="480"/>
        <w:rPr>
          <w:rFonts w:ascii="宋体" w:hAnsi="宋体" w:eastAsia="宋体"/>
          <w:bCs/>
        </w:rPr>
      </w:pPr>
      <w:r>
        <w:rPr>
          <w:rFonts w:hint="eastAsia" w:ascii="宋体" w:hAnsi="宋体" w:eastAsia="宋体"/>
          <w:bCs/>
        </w:rPr>
        <w:t>（五）组织防火检查，督促落实本项目火灾隐患整改，及时处理涉及消防安全的重大问题；</w:t>
      </w:r>
    </w:p>
    <w:p>
      <w:pPr>
        <w:widowControl w:val="0"/>
        <w:ind w:firstLine="480"/>
        <w:rPr>
          <w:rFonts w:ascii="宋体" w:hAnsi="宋体" w:eastAsia="宋体"/>
          <w:bCs/>
        </w:rPr>
      </w:pPr>
      <w:r>
        <w:rPr>
          <w:rFonts w:hint="eastAsia" w:ascii="宋体" w:hAnsi="宋体" w:eastAsia="宋体"/>
          <w:bCs/>
        </w:rPr>
        <w:t>（六）根据消防法规的制度及项目制度成立项目消防工作领导小组、办公室及义务消防队；</w:t>
      </w:r>
    </w:p>
    <w:p>
      <w:pPr>
        <w:widowControl w:val="0"/>
        <w:ind w:firstLine="480"/>
        <w:rPr>
          <w:rFonts w:ascii="宋体" w:hAnsi="宋体" w:eastAsia="宋体"/>
          <w:bCs/>
        </w:rPr>
      </w:pPr>
      <w:r>
        <w:rPr>
          <w:rFonts w:hint="eastAsia" w:ascii="宋体" w:hAnsi="宋体" w:eastAsia="宋体"/>
          <w:bCs/>
        </w:rPr>
        <w:t>（七）组织制定符合本项目实际操作的灭火和应急疏散预案，并实施演练。</w:t>
      </w:r>
    </w:p>
    <w:p>
      <w:pPr>
        <w:widowControl w:val="0"/>
        <w:ind w:firstLine="482"/>
        <w:rPr>
          <w:rFonts w:ascii="宋体" w:hAnsi="宋体" w:eastAsia="宋体"/>
          <w:bCs/>
        </w:rPr>
      </w:pPr>
      <w:r>
        <w:rPr>
          <w:rFonts w:hint="eastAsia" w:ascii="宋体" w:hAnsi="宋体" w:eastAsia="宋体"/>
          <w:b/>
        </w:rPr>
        <w:t>第十四条</w:t>
      </w:r>
      <w:r>
        <w:rPr>
          <w:rFonts w:hint="eastAsia" w:ascii="宋体" w:hAnsi="宋体" w:eastAsia="宋体"/>
          <w:bCs/>
        </w:rPr>
        <w:t xml:space="preserve"> 项目各岗位员工应当履行下列消防安全职责：</w:t>
      </w:r>
    </w:p>
    <w:p>
      <w:pPr>
        <w:widowControl w:val="0"/>
        <w:ind w:firstLine="480"/>
        <w:rPr>
          <w:rFonts w:ascii="宋体" w:hAnsi="宋体" w:eastAsia="宋体"/>
          <w:bCs/>
        </w:rPr>
      </w:pPr>
      <w:r>
        <w:rPr>
          <w:rFonts w:hint="eastAsia" w:ascii="宋体" w:hAnsi="宋体" w:eastAsia="宋体"/>
          <w:bCs/>
        </w:rPr>
        <w:t>（一）贯彻执行消防法规，保障本岗位消防安全符合制度，掌握本岗位的消防安全知识及安全情况；</w:t>
      </w:r>
    </w:p>
    <w:p>
      <w:pPr>
        <w:widowControl w:val="0"/>
        <w:ind w:firstLine="480"/>
        <w:rPr>
          <w:rFonts w:ascii="宋体" w:hAnsi="宋体" w:eastAsia="宋体"/>
          <w:bCs/>
        </w:rPr>
      </w:pPr>
      <w:r>
        <w:rPr>
          <w:rFonts w:hint="eastAsia" w:ascii="宋体" w:hAnsi="宋体" w:eastAsia="宋体"/>
          <w:bCs/>
        </w:rPr>
        <w:t>（二）将消防工作纳入本岗位的生产、管理等活动，对本岗位的消防安全负责；</w:t>
      </w:r>
    </w:p>
    <w:p>
      <w:pPr>
        <w:widowControl w:val="0"/>
        <w:ind w:firstLine="480"/>
        <w:rPr>
          <w:rFonts w:ascii="宋体" w:hAnsi="宋体" w:eastAsia="宋体"/>
          <w:bCs/>
        </w:rPr>
      </w:pPr>
      <w:r>
        <w:rPr>
          <w:rFonts w:hint="eastAsia" w:ascii="宋体" w:hAnsi="宋体" w:eastAsia="宋体"/>
          <w:bCs/>
        </w:rPr>
        <w:t>（三）遵守项目消防安全制度和消防安全操作规程；</w:t>
      </w:r>
    </w:p>
    <w:p>
      <w:pPr>
        <w:widowControl w:val="0"/>
        <w:ind w:firstLine="480"/>
        <w:rPr>
          <w:rFonts w:ascii="宋体" w:hAnsi="宋体" w:eastAsia="宋体"/>
          <w:bCs/>
        </w:rPr>
      </w:pPr>
      <w:r>
        <w:rPr>
          <w:rFonts w:hint="eastAsia" w:ascii="宋体" w:hAnsi="宋体" w:eastAsia="宋体"/>
          <w:bCs/>
        </w:rPr>
        <w:t>（四）对本岗位责任区范围进行经常性消防检查，发现火灾隐患，及时处理和报告；</w:t>
      </w:r>
    </w:p>
    <w:p>
      <w:pPr>
        <w:widowControl w:val="0"/>
        <w:ind w:firstLine="480"/>
        <w:rPr>
          <w:rFonts w:ascii="宋体" w:hAnsi="宋体" w:eastAsia="宋体"/>
          <w:bCs/>
        </w:rPr>
      </w:pPr>
      <w:r>
        <w:rPr>
          <w:rFonts w:hint="eastAsia" w:ascii="宋体" w:hAnsi="宋体" w:eastAsia="宋体"/>
          <w:bCs/>
        </w:rPr>
        <w:t>（五）积极参加项目及部门组织的消防培训和消防演练。</w:t>
      </w:r>
      <w:bookmarkStart w:id="103" w:name="_Toc24396"/>
    </w:p>
    <w:p>
      <w:pPr>
        <w:pStyle w:val="3"/>
        <w:widowControl w:val="0"/>
      </w:pPr>
      <w:bookmarkStart w:id="104" w:name="_Toc15951"/>
      <w:r>
        <w:rPr>
          <w:rFonts w:hint="eastAsia"/>
        </w:rPr>
        <w:t>第三章 消防安全与技术管理</w:t>
      </w:r>
      <w:bookmarkEnd w:id="103"/>
      <w:bookmarkEnd w:id="104"/>
    </w:p>
    <w:p>
      <w:pPr>
        <w:widowControl w:val="0"/>
        <w:ind w:firstLine="482"/>
        <w:rPr>
          <w:rFonts w:ascii="宋体" w:hAnsi="宋体" w:eastAsia="宋体"/>
          <w:bCs/>
        </w:rPr>
      </w:pPr>
      <w:r>
        <w:rPr>
          <w:rFonts w:hint="eastAsia" w:ascii="宋体" w:hAnsi="宋体" w:eastAsia="宋体"/>
          <w:b/>
        </w:rPr>
        <w:t xml:space="preserve">第十五条 </w:t>
      </w:r>
      <w:bookmarkStart w:id="105" w:name="_Hlk524975147"/>
      <w:r>
        <w:rPr>
          <w:rFonts w:hint="eastAsia" w:ascii="宋体" w:hAnsi="宋体" w:eastAsia="宋体"/>
          <w:bCs/>
        </w:rPr>
        <w:t>总承包项目部</w:t>
      </w:r>
      <w:bookmarkEnd w:id="105"/>
      <w:r>
        <w:rPr>
          <w:rFonts w:hint="eastAsia" w:ascii="宋体" w:hAnsi="宋体" w:eastAsia="宋体"/>
          <w:bCs/>
        </w:rPr>
        <w:t>应将消防安全工作纳入安全生产领导小组管理范围，研究解决重大消防安全问题，同时要定期召开消防安全例会或联席会议，部署和落实各项消防安全工作要求。</w:t>
      </w:r>
    </w:p>
    <w:p>
      <w:pPr>
        <w:widowControl w:val="0"/>
        <w:ind w:firstLine="482"/>
        <w:rPr>
          <w:rFonts w:ascii="宋体" w:hAnsi="宋体" w:eastAsia="宋体"/>
          <w:bCs/>
        </w:rPr>
      </w:pPr>
      <w:r>
        <w:rPr>
          <w:rFonts w:hint="eastAsia" w:ascii="宋体" w:hAnsi="宋体" w:eastAsia="宋体"/>
          <w:b/>
        </w:rPr>
        <w:t xml:space="preserve">第十六条 </w:t>
      </w:r>
      <w:r>
        <w:rPr>
          <w:rFonts w:hint="eastAsia" w:ascii="宋体" w:hAnsi="宋体" w:eastAsia="宋体"/>
          <w:bCs/>
        </w:rPr>
        <w:t>总承包项目部要将消防安全培训纳入项目整体培训计划，按照下列要求做好消防安全教育培训。</w:t>
      </w:r>
    </w:p>
    <w:p>
      <w:pPr>
        <w:widowControl w:val="0"/>
        <w:ind w:firstLine="480"/>
        <w:rPr>
          <w:rFonts w:ascii="宋体" w:hAnsi="宋体" w:eastAsia="宋体"/>
          <w:bCs/>
        </w:rPr>
      </w:pPr>
      <w:r>
        <w:rPr>
          <w:rFonts w:hint="eastAsia" w:ascii="宋体" w:hAnsi="宋体" w:eastAsia="宋体"/>
          <w:bCs/>
        </w:rPr>
        <w:t>（一）定期开展形式多样的消防安全宣传教育；</w:t>
      </w:r>
    </w:p>
    <w:p>
      <w:pPr>
        <w:widowControl w:val="0"/>
        <w:ind w:firstLine="480"/>
        <w:rPr>
          <w:rFonts w:ascii="宋体" w:hAnsi="宋体" w:eastAsia="宋体"/>
          <w:bCs/>
        </w:rPr>
      </w:pPr>
      <w:r>
        <w:rPr>
          <w:rFonts w:hint="eastAsia" w:ascii="宋体" w:hAnsi="宋体" w:eastAsia="宋体"/>
          <w:bCs/>
        </w:rPr>
        <w:t>（二）项目的消防安全责任人、消防安全管理人应当接受消防安全专门培训；</w:t>
      </w:r>
    </w:p>
    <w:p>
      <w:pPr>
        <w:widowControl w:val="0"/>
        <w:ind w:firstLine="480"/>
        <w:rPr>
          <w:rFonts w:ascii="宋体" w:hAnsi="宋体" w:eastAsia="宋体"/>
          <w:bCs/>
        </w:rPr>
      </w:pPr>
      <w:r>
        <w:rPr>
          <w:rFonts w:hint="eastAsia" w:ascii="宋体" w:hAnsi="宋体" w:eastAsia="宋体"/>
          <w:bCs/>
        </w:rPr>
        <w:t>（三）新员工上岗、转岗前应经过岗前消防安全培训并考核合格；</w:t>
      </w:r>
    </w:p>
    <w:p>
      <w:pPr>
        <w:widowControl w:val="0"/>
        <w:ind w:firstLine="480"/>
        <w:rPr>
          <w:rFonts w:ascii="宋体" w:hAnsi="宋体" w:eastAsia="宋体"/>
          <w:bCs/>
        </w:rPr>
      </w:pPr>
      <w:r>
        <w:rPr>
          <w:rFonts w:hint="eastAsia" w:ascii="宋体" w:hAnsi="宋体" w:eastAsia="宋体"/>
          <w:bCs/>
        </w:rPr>
        <w:t>（四）对在岗人员至少每年进行一次消防安全教育培训。</w:t>
      </w:r>
    </w:p>
    <w:p>
      <w:pPr>
        <w:widowControl w:val="0"/>
        <w:ind w:firstLine="482"/>
        <w:rPr>
          <w:rFonts w:ascii="宋体" w:hAnsi="宋体" w:eastAsia="宋体"/>
          <w:bCs/>
        </w:rPr>
      </w:pPr>
      <w:r>
        <w:rPr>
          <w:rFonts w:hint="eastAsia" w:ascii="宋体" w:hAnsi="宋体" w:eastAsia="宋体"/>
          <w:b/>
        </w:rPr>
        <w:t xml:space="preserve">第十七条 </w:t>
      </w:r>
      <w:r>
        <w:rPr>
          <w:rFonts w:hint="eastAsia" w:ascii="宋体" w:hAnsi="宋体" w:eastAsia="宋体"/>
          <w:bCs/>
        </w:rPr>
        <w:t>总承包项目部要根据项目安全检查与隐患治理管理制度，开展消防安全巡查、检查等活动。</w:t>
      </w:r>
    </w:p>
    <w:p>
      <w:pPr>
        <w:widowControl w:val="0"/>
        <w:ind w:firstLine="482"/>
        <w:rPr>
          <w:rFonts w:ascii="宋体" w:hAnsi="宋体" w:eastAsia="宋体"/>
          <w:bCs/>
        </w:rPr>
      </w:pPr>
      <w:r>
        <w:rPr>
          <w:rFonts w:hint="eastAsia" w:ascii="宋体" w:hAnsi="宋体" w:eastAsia="宋体"/>
          <w:b/>
        </w:rPr>
        <w:t>第十八条</w:t>
      </w:r>
      <w:r>
        <w:rPr>
          <w:rFonts w:hint="eastAsia" w:ascii="宋体" w:hAnsi="宋体" w:eastAsia="宋体"/>
          <w:bCs/>
        </w:rPr>
        <w:t xml:space="preserve"> 火灾事故应按照“四不放过”原则，总承包项目部组织或参与火灾事故的调查、分析、处理。</w:t>
      </w:r>
    </w:p>
    <w:p>
      <w:pPr>
        <w:widowControl w:val="0"/>
        <w:ind w:firstLine="482"/>
        <w:rPr>
          <w:rFonts w:ascii="宋体" w:hAnsi="宋体" w:eastAsia="宋体"/>
          <w:bCs/>
        </w:rPr>
      </w:pPr>
      <w:r>
        <w:rPr>
          <w:rFonts w:hint="eastAsia" w:ascii="宋体" w:hAnsi="宋体" w:eastAsia="宋体"/>
          <w:b/>
        </w:rPr>
        <w:t>第十九条</w:t>
      </w:r>
      <w:r>
        <w:rPr>
          <w:rFonts w:hint="eastAsia" w:ascii="宋体" w:hAnsi="宋体" w:eastAsia="宋体"/>
          <w:bCs/>
        </w:rPr>
        <w:t xml:space="preserve"> 消防技术管理应按国家最新颁布执行的消防法规、标准、技术规范要求执行。</w:t>
      </w:r>
      <w:bookmarkStart w:id="106" w:name="_Toc17028"/>
    </w:p>
    <w:p>
      <w:pPr>
        <w:pStyle w:val="3"/>
        <w:widowControl w:val="0"/>
      </w:pPr>
      <w:bookmarkStart w:id="107" w:name="_Toc1532"/>
      <w:r>
        <w:rPr>
          <w:rFonts w:hint="eastAsia"/>
        </w:rPr>
        <w:t>第四章 灭火、应急疏散预案和演练</w:t>
      </w:r>
      <w:bookmarkEnd w:id="106"/>
      <w:bookmarkEnd w:id="107"/>
    </w:p>
    <w:p>
      <w:pPr>
        <w:widowControl w:val="0"/>
        <w:ind w:firstLine="482"/>
        <w:rPr>
          <w:rFonts w:ascii="宋体" w:hAnsi="宋体" w:eastAsia="宋体"/>
          <w:bCs/>
        </w:rPr>
      </w:pPr>
      <w:r>
        <w:rPr>
          <w:rFonts w:hint="eastAsia" w:ascii="宋体" w:hAnsi="宋体" w:eastAsia="宋体"/>
          <w:b/>
        </w:rPr>
        <w:t>第二十条</w:t>
      </w:r>
      <w:r>
        <w:rPr>
          <w:rFonts w:hint="eastAsia" w:ascii="宋体" w:hAnsi="宋体" w:eastAsia="宋体"/>
          <w:bCs/>
        </w:rPr>
        <w:t xml:space="preserve"> 消防安全重点工区制定的灭火和应急疏散预案，应当包括下列内容：</w:t>
      </w:r>
    </w:p>
    <w:p>
      <w:pPr>
        <w:widowControl w:val="0"/>
        <w:ind w:firstLine="480"/>
        <w:rPr>
          <w:rFonts w:ascii="宋体" w:hAnsi="宋体" w:eastAsia="宋体"/>
          <w:bCs/>
        </w:rPr>
      </w:pPr>
      <w:r>
        <w:rPr>
          <w:rFonts w:hint="eastAsia" w:ascii="宋体" w:hAnsi="宋体" w:eastAsia="宋体"/>
          <w:bCs/>
        </w:rPr>
        <w:t>（一）组织机构，包括：消防工作领导小组、办公室及义务消防队，具体分成以下各组：灭火行动组、通讯联络组、疏散引导组、安全防护救护组；</w:t>
      </w:r>
    </w:p>
    <w:p>
      <w:pPr>
        <w:widowControl w:val="0"/>
        <w:ind w:firstLine="480"/>
        <w:rPr>
          <w:rFonts w:ascii="宋体" w:hAnsi="宋体" w:eastAsia="宋体"/>
          <w:bCs/>
        </w:rPr>
      </w:pPr>
      <w:r>
        <w:rPr>
          <w:rFonts w:hint="eastAsia" w:ascii="宋体" w:hAnsi="宋体" w:eastAsia="宋体"/>
          <w:bCs/>
        </w:rPr>
        <w:t>（二）报警和接警处置程序；</w:t>
      </w:r>
    </w:p>
    <w:p>
      <w:pPr>
        <w:widowControl w:val="0"/>
        <w:ind w:firstLine="480"/>
        <w:rPr>
          <w:rFonts w:ascii="宋体" w:hAnsi="宋体" w:eastAsia="宋体"/>
          <w:bCs/>
        </w:rPr>
      </w:pPr>
      <w:r>
        <w:rPr>
          <w:rFonts w:hint="eastAsia" w:ascii="宋体" w:hAnsi="宋体" w:eastAsia="宋体"/>
          <w:bCs/>
        </w:rPr>
        <w:t>（三）应急疏散的组织程序和措施；</w:t>
      </w:r>
    </w:p>
    <w:p>
      <w:pPr>
        <w:widowControl w:val="0"/>
        <w:ind w:firstLine="480"/>
        <w:rPr>
          <w:rFonts w:ascii="宋体" w:hAnsi="宋体" w:eastAsia="宋体"/>
          <w:bCs/>
        </w:rPr>
      </w:pPr>
      <w:r>
        <w:rPr>
          <w:rFonts w:hint="eastAsia" w:ascii="宋体" w:hAnsi="宋体" w:eastAsia="宋体"/>
          <w:bCs/>
        </w:rPr>
        <w:t>（四）扑救初起火灾的程序和措施；</w:t>
      </w:r>
    </w:p>
    <w:p>
      <w:pPr>
        <w:widowControl w:val="0"/>
        <w:ind w:firstLine="480"/>
        <w:rPr>
          <w:rFonts w:ascii="宋体" w:hAnsi="宋体" w:eastAsia="宋体"/>
          <w:bCs/>
        </w:rPr>
      </w:pPr>
      <w:r>
        <w:rPr>
          <w:rFonts w:hint="eastAsia" w:ascii="宋体" w:hAnsi="宋体" w:eastAsia="宋体"/>
          <w:bCs/>
        </w:rPr>
        <w:t>（五）通讯联络、安全防护救护的程序和措施。</w:t>
      </w:r>
    </w:p>
    <w:p>
      <w:pPr>
        <w:widowControl w:val="0"/>
        <w:ind w:firstLine="482"/>
        <w:rPr>
          <w:rFonts w:ascii="宋体" w:hAnsi="宋体" w:eastAsia="宋体"/>
          <w:bCs/>
        </w:rPr>
      </w:pPr>
      <w:r>
        <w:rPr>
          <w:rFonts w:hint="eastAsia" w:ascii="宋体" w:hAnsi="宋体" w:eastAsia="宋体"/>
          <w:b/>
        </w:rPr>
        <w:t>第二十一条</w:t>
      </w:r>
      <w:r>
        <w:rPr>
          <w:rFonts w:hint="eastAsia" w:ascii="宋体" w:hAnsi="宋体" w:eastAsia="宋体"/>
          <w:bCs/>
        </w:rPr>
        <w:t xml:space="preserve"> 消防安全重点工区应当按照灭火和应急疏散预案，至少每半年进行一次演练，并结合实际不断完善预案。其他工区应当至少每年组织一次演练。消防演练时，应当设置明显标识，并事先告知演练范围内的人员。</w:t>
      </w:r>
      <w:bookmarkStart w:id="108" w:name="_Toc26662"/>
    </w:p>
    <w:p>
      <w:pPr>
        <w:pStyle w:val="3"/>
        <w:widowControl w:val="0"/>
      </w:pPr>
      <w:bookmarkStart w:id="109" w:name="_Toc22484"/>
      <w:r>
        <w:rPr>
          <w:rFonts w:hint="eastAsia"/>
        </w:rPr>
        <w:t>第五章 消防设施和器材管理</w:t>
      </w:r>
      <w:bookmarkEnd w:id="108"/>
      <w:bookmarkEnd w:id="109"/>
    </w:p>
    <w:p>
      <w:pPr>
        <w:widowControl w:val="0"/>
        <w:ind w:firstLine="482"/>
        <w:rPr>
          <w:rFonts w:ascii="宋体" w:hAnsi="宋体" w:eastAsia="宋体"/>
          <w:bCs/>
        </w:rPr>
      </w:pPr>
      <w:r>
        <w:rPr>
          <w:rFonts w:hint="eastAsia" w:ascii="宋体" w:hAnsi="宋体" w:eastAsia="宋体"/>
          <w:b/>
        </w:rPr>
        <w:t>第二十二条</w:t>
      </w:r>
      <w:r>
        <w:rPr>
          <w:rFonts w:hint="eastAsia" w:ascii="宋体" w:hAnsi="宋体" w:eastAsia="宋体"/>
          <w:bCs/>
        </w:rPr>
        <w:t xml:space="preserve"> </w:t>
      </w:r>
      <w:bookmarkStart w:id="110" w:name="_Hlk524975382"/>
      <w:r>
        <w:rPr>
          <w:rFonts w:hint="eastAsia" w:ascii="宋体" w:hAnsi="宋体" w:eastAsia="宋体"/>
          <w:bCs/>
        </w:rPr>
        <w:t>总承包项目部及各工区项目部</w:t>
      </w:r>
      <w:bookmarkEnd w:id="110"/>
      <w:r>
        <w:rPr>
          <w:rFonts w:hint="eastAsia" w:ascii="宋体" w:hAnsi="宋体" w:eastAsia="宋体"/>
          <w:bCs/>
        </w:rPr>
        <w:t>应建立消防设施、器材的管理</w:t>
      </w:r>
      <w:r>
        <w:rPr>
          <w:rFonts w:hint="eastAsia" w:ascii="宋体" w:hAnsi="宋体" w:eastAsia="宋体"/>
          <w:bCs/>
          <w:lang w:eastAsia="zh-CN"/>
        </w:rPr>
        <w:t>台账</w:t>
      </w:r>
      <w:r>
        <w:rPr>
          <w:rFonts w:hint="eastAsia" w:ascii="宋体" w:hAnsi="宋体" w:eastAsia="宋体"/>
          <w:bCs/>
        </w:rPr>
        <w:t>（附件</w:t>
      </w:r>
      <w:r>
        <w:rPr>
          <w:rFonts w:eastAsia="宋体"/>
          <w:bCs/>
        </w:rPr>
        <w:t>1</w:t>
      </w:r>
      <w:r>
        <w:rPr>
          <w:rFonts w:hint="eastAsia" w:ascii="宋体" w:hAnsi="宋体" w:eastAsia="宋体"/>
          <w:bCs/>
        </w:rPr>
        <w:t>），并指定责任部门专人负责消防设施、器材的日常维护管理，检查消防设施、器材的日常使用状况。</w:t>
      </w:r>
    </w:p>
    <w:p>
      <w:pPr>
        <w:widowControl w:val="0"/>
        <w:ind w:firstLine="482"/>
        <w:rPr>
          <w:rFonts w:ascii="宋体" w:hAnsi="宋体" w:eastAsia="宋体"/>
          <w:bCs/>
        </w:rPr>
      </w:pPr>
      <w:r>
        <w:rPr>
          <w:rFonts w:hint="eastAsia" w:ascii="宋体" w:hAnsi="宋体" w:eastAsia="宋体"/>
          <w:b/>
        </w:rPr>
        <w:t>第二十三条</w:t>
      </w:r>
      <w:r>
        <w:rPr>
          <w:rFonts w:hint="eastAsia" w:ascii="宋体" w:hAnsi="宋体" w:eastAsia="宋体"/>
          <w:bCs/>
        </w:rPr>
        <w:t xml:space="preserve"> 总承包项目部及各工区项目部应根据消防设施、器材的检验期限和检验标准，及时联系有资质的消防器材检验单位，对负责区域内的消防设施、器材进行年度检修、维护或更新，以保证设施、器材的完好有效。</w:t>
      </w:r>
      <w:bookmarkStart w:id="111" w:name="_Toc11284"/>
    </w:p>
    <w:p>
      <w:pPr>
        <w:pStyle w:val="3"/>
        <w:widowControl w:val="0"/>
      </w:pPr>
      <w:bookmarkStart w:id="112" w:name="_Toc7135"/>
      <w:r>
        <w:rPr>
          <w:rFonts w:hint="eastAsia"/>
        </w:rPr>
        <w:t>第六章 防火巡查</w:t>
      </w:r>
      <w:bookmarkEnd w:id="111"/>
      <w:bookmarkEnd w:id="112"/>
    </w:p>
    <w:p>
      <w:pPr>
        <w:widowControl w:val="0"/>
        <w:ind w:firstLine="482"/>
        <w:rPr>
          <w:rFonts w:ascii="宋体" w:hAnsi="宋体" w:eastAsia="宋体"/>
          <w:bCs/>
        </w:rPr>
      </w:pPr>
      <w:r>
        <w:rPr>
          <w:rFonts w:hint="eastAsia" w:ascii="宋体" w:hAnsi="宋体" w:eastAsia="宋体"/>
          <w:b/>
        </w:rPr>
        <w:t>第二十四条</w:t>
      </w:r>
      <w:r>
        <w:rPr>
          <w:rFonts w:hint="eastAsia" w:ascii="宋体" w:hAnsi="宋体" w:eastAsia="宋体"/>
          <w:bCs/>
        </w:rPr>
        <w:t xml:space="preserve"> 责任部门应每月（重点工区每天）进行一次防火巡视检查，巡查内容主要包括：</w:t>
      </w:r>
    </w:p>
    <w:p>
      <w:pPr>
        <w:widowControl w:val="0"/>
        <w:ind w:firstLine="480"/>
        <w:rPr>
          <w:rFonts w:ascii="宋体" w:hAnsi="宋体" w:eastAsia="宋体"/>
          <w:bCs/>
        </w:rPr>
      </w:pPr>
      <w:r>
        <w:rPr>
          <w:rFonts w:hint="eastAsia" w:ascii="宋体" w:hAnsi="宋体" w:eastAsia="宋体"/>
          <w:bCs/>
        </w:rPr>
        <w:t>（一）用火、用电情况是否安全、规范；</w:t>
      </w:r>
    </w:p>
    <w:p>
      <w:pPr>
        <w:widowControl w:val="0"/>
        <w:ind w:firstLine="480"/>
        <w:rPr>
          <w:rFonts w:ascii="宋体" w:hAnsi="宋体" w:eastAsia="宋体"/>
          <w:bCs/>
        </w:rPr>
      </w:pPr>
      <w:r>
        <w:rPr>
          <w:rFonts w:hint="eastAsia" w:ascii="宋体" w:hAnsi="宋体" w:eastAsia="宋体"/>
          <w:bCs/>
        </w:rPr>
        <w:t>（二）安全出口、疏散通道是否畅通，安全疏散指示标志，应急照明是否完好；</w:t>
      </w:r>
    </w:p>
    <w:p>
      <w:pPr>
        <w:widowControl w:val="0"/>
        <w:ind w:firstLine="480"/>
        <w:rPr>
          <w:rFonts w:ascii="宋体" w:hAnsi="宋体" w:eastAsia="宋体"/>
          <w:bCs/>
        </w:rPr>
      </w:pPr>
      <w:r>
        <w:rPr>
          <w:rFonts w:hint="eastAsia" w:ascii="宋体" w:hAnsi="宋体" w:eastAsia="宋体"/>
          <w:bCs/>
        </w:rPr>
        <w:t>（三）消防设施、器材和消防安全标志是否在位、完整、有效；</w:t>
      </w:r>
    </w:p>
    <w:p>
      <w:pPr>
        <w:widowControl w:val="0"/>
        <w:ind w:firstLine="480"/>
        <w:rPr>
          <w:rFonts w:ascii="宋体" w:hAnsi="宋体" w:eastAsia="宋体"/>
          <w:bCs/>
        </w:rPr>
      </w:pPr>
      <w:r>
        <w:rPr>
          <w:rFonts w:hint="eastAsia" w:ascii="宋体" w:hAnsi="宋体" w:eastAsia="宋体"/>
          <w:bCs/>
        </w:rPr>
        <w:t>（四）消防安全重点部位的管理情况；</w:t>
      </w:r>
    </w:p>
    <w:p>
      <w:pPr>
        <w:widowControl w:val="0"/>
        <w:ind w:firstLine="480"/>
        <w:rPr>
          <w:rFonts w:ascii="宋体" w:hAnsi="宋体" w:eastAsia="宋体"/>
          <w:bCs/>
        </w:rPr>
      </w:pPr>
      <w:r>
        <w:rPr>
          <w:rFonts w:hint="eastAsia" w:ascii="宋体" w:hAnsi="宋体" w:eastAsia="宋体"/>
          <w:bCs/>
        </w:rPr>
        <w:t>（五）易燃易爆危险物品和场所及其他重要物资的防火措施落实情况；</w:t>
      </w:r>
    </w:p>
    <w:p>
      <w:pPr>
        <w:widowControl w:val="0"/>
        <w:ind w:firstLine="480"/>
        <w:rPr>
          <w:rFonts w:ascii="宋体" w:hAnsi="宋体" w:eastAsia="宋体"/>
          <w:bCs/>
        </w:rPr>
      </w:pPr>
      <w:r>
        <w:rPr>
          <w:rFonts w:hint="eastAsia" w:ascii="宋体" w:hAnsi="宋体" w:eastAsia="宋体"/>
          <w:bCs/>
        </w:rPr>
        <w:t>（六）其他需要检查的消防安全情况。</w:t>
      </w:r>
    </w:p>
    <w:p>
      <w:pPr>
        <w:widowControl w:val="0"/>
        <w:ind w:firstLine="482"/>
        <w:rPr>
          <w:rFonts w:ascii="宋体" w:hAnsi="宋体" w:eastAsia="宋体"/>
          <w:bCs/>
        </w:rPr>
      </w:pPr>
      <w:r>
        <w:rPr>
          <w:rFonts w:hint="eastAsia" w:ascii="宋体" w:hAnsi="宋体" w:eastAsia="宋体"/>
          <w:b/>
        </w:rPr>
        <w:t>第二十五条</w:t>
      </w:r>
      <w:r>
        <w:rPr>
          <w:rFonts w:hint="eastAsia" w:ascii="宋体" w:hAnsi="宋体" w:eastAsia="宋体"/>
          <w:bCs/>
        </w:rPr>
        <w:t xml:space="preserve"> 防火巡查应做好巡查</w:t>
      </w:r>
      <w:r>
        <w:rPr>
          <w:rFonts w:hint="eastAsia" w:eastAsia="宋体"/>
          <w:bCs/>
        </w:rPr>
        <w:t>记录（附件2）。</w:t>
      </w:r>
      <w:r>
        <w:rPr>
          <w:rFonts w:hint="eastAsia" w:ascii="宋体" w:hAnsi="宋体" w:eastAsia="宋体"/>
          <w:bCs/>
        </w:rPr>
        <w:t>如发现火灾隐患应如实记录，并确定整改责任部门和责任人、整改措施及整改期限，整改责任人应在记录表上签字确认。</w:t>
      </w:r>
      <w:bookmarkStart w:id="113" w:name="_Toc6586"/>
    </w:p>
    <w:p>
      <w:pPr>
        <w:pStyle w:val="3"/>
        <w:widowControl w:val="0"/>
      </w:pPr>
      <w:bookmarkStart w:id="114" w:name="_Toc18039"/>
      <w:r>
        <w:rPr>
          <w:rFonts w:hint="eastAsia"/>
        </w:rPr>
        <w:t>第七章 火灾隐患整改</w:t>
      </w:r>
      <w:bookmarkEnd w:id="113"/>
      <w:bookmarkEnd w:id="114"/>
    </w:p>
    <w:p>
      <w:pPr>
        <w:widowControl w:val="0"/>
        <w:ind w:firstLine="482"/>
        <w:rPr>
          <w:rFonts w:ascii="宋体" w:hAnsi="宋体" w:eastAsia="宋体"/>
          <w:bCs/>
        </w:rPr>
      </w:pPr>
      <w:r>
        <w:rPr>
          <w:rFonts w:hint="eastAsia" w:ascii="宋体" w:hAnsi="宋体" w:eastAsia="宋体"/>
          <w:b/>
        </w:rPr>
        <w:t>第二十六条</w:t>
      </w:r>
      <w:r>
        <w:rPr>
          <w:rFonts w:hint="eastAsia" w:ascii="宋体" w:hAnsi="宋体" w:eastAsia="宋体"/>
          <w:bCs/>
        </w:rPr>
        <w:t xml:space="preserve"> 发现下列火灾隐患行为或现象的，应责令责任人员当场整改：</w:t>
      </w:r>
    </w:p>
    <w:p>
      <w:pPr>
        <w:widowControl w:val="0"/>
        <w:ind w:firstLine="480"/>
        <w:rPr>
          <w:rFonts w:ascii="宋体" w:hAnsi="宋体" w:eastAsia="宋体"/>
          <w:bCs/>
        </w:rPr>
      </w:pPr>
      <w:r>
        <w:rPr>
          <w:rFonts w:hint="eastAsia" w:ascii="宋体" w:hAnsi="宋体" w:eastAsia="宋体"/>
          <w:bCs/>
        </w:rPr>
        <w:t>（一）违章进入储存易燃易爆危险品场所的；</w:t>
      </w:r>
    </w:p>
    <w:p>
      <w:pPr>
        <w:widowControl w:val="0"/>
        <w:ind w:firstLine="480"/>
        <w:rPr>
          <w:rFonts w:ascii="宋体" w:hAnsi="宋体" w:eastAsia="宋体"/>
          <w:bCs/>
        </w:rPr>
      </w:pPr>
      <w:r>
        <w:rPr>
          <w:rFonts w:hint="eastAsia" w:ascii="宋体" w:hAnsi="宋体" w:eastAsia="宋体"/>
          <w:bCs/>
        </w:rPr>
        <w:t>（二）违章使用明火作业或在有火灾、爆炸危险的场所吸烟、使用明火等行为的；</w:t>
      </w:r>
    </w:p>
    <w:p>
      <w:pPr>
        <w:widowControl w:val="0"/>
        <w:ind w:firstLine="480"/>
        <w:rPr>
          <w:rFonts w:ascii="宋体" w:hAnsi="宋体" w:eastAsia="宋体"/>
          <w:bCs/>
        </w:rPr>
      </w:pPr>
      <w:r>
        <w:rPr>
          <w:rFonts w:hint="eastAsia" w:ascii="宋体" w:hAnsi="宋体" w:eastAsia="宋体"/>
          <w:bCs/>
        </w:rPr>
        <w:t>（三）消防安全出口上锁、或被遮挡、占用、堆放物品，影响疏散通道畅通的；</w:t>
      </w:r>
    </w:p>
    <w:p>
      <w:pPr>
        <w:widowControl w:val="0"/>
        <w:ind w:firstLine="480"/>
        <w:rPr>
          <w:rFonts w:ascii="宋体" w:hAnsi="宋体" w:eastAsia="宋体"/>
          <w:bCs/>
        </w:rPr>
      </w:pPr>
      <w:r>
        <w:rPr>
          <w:rFonts w:hint="eastAsia" w:ascii="宋体" w:hAnsi="宋体" w:eastAsia="宋体"/>
          <w:bCs/>
        </w:rPr>
        <w:t>（四）消防设施、器材被遮挡或挪作他用的；</w:t>
      </w:r>
    </w:p>
    <w:p>
      <w:pPr>
        <w:widowControl w:val="0"/>
        <w:ind w:firstLine="480"/>
        <w:rPr>
          <w:rFonts w:ascii="宋体" w:hAnsi="宋体" w:eastAsia="宋体"/>
          <w:bCs/>
        </w:rPr>
      </w:pPr>
      <w:r>
        <w:rPr>
          <w:rFonts w:hint="eastAsia" w:ascii="宋体" w:hAnsi="宋体" w:eastAsia="宋体"/>
          <w:bCs/>
        </w:rPr>
        <w:t>（五）擅自关闭消防设施、切断消防电源的；</w:t>
      </w:r>
    </w:p>
    <w:p>
      <w:pPr>
        <w:widowControl w:val="0"/>
        <w:ind w:firstLine="480"/>
        <w:rPr>
          <w:rFonts w:ascii="宋体" w:hAnsi="宋体" w:eastAsia="宋体"/>
          <w:bCs/>
        </w:rPr>
      </w:pPr>
      <w:r>
        <w:rPr>
          <w:rFonts w:hint="eastAsia" w:ascii="宋体" w:hAnsi="宋体" w:eastAsia="宋体"/>
          <w:bCs/>
        </w:rPr>
        <w:t>（六）其他可以当场改正的违反消防安全的行为。</w:t>
      </w:r>
    </w:p>
    <w:p>
      <w:pPr>
        <w:widowControl w:val="0"/>
        <w:ind w:firstLine="482"/>
        <w:rPr>
          <w:rFonts w:ascii="宋体" w:hAnsi="宋体" w:eastAsia="宋体"/>
          <w:bCs/>
        </w:rPr>
      </w:pPr>
      <w:r>
        <w:rPr>
          <w:rFonts w:hint="eastAsia" w:ascii="宋体" w:hAnsi="宋体" w:eastAsia="宋体"/>
          <w:b/>
        </w:rPr>
        <w:t>第二十七条</w:t>
      </w:r>
      <w:r>
        <w:rPr>
          <w:rFonts w:hint="eastAsia" w:ascii="宋体" w:hAnsi="宋体" w:eastAsia="宋体"/>
          <w:bCs/>
        </w:rPr>
        <w:t xml:space="preserve"> 对不能当场整改的火灾隐患，责任部门或工区应及时将火灾隐患及整改措施报消防工作领导小组。消防工作领导小组应根据实际情况及时协调相关部门开展整改工作，并督促、指导整改。</w:t>
      </w:r>
    </w:p>
    <w:p>
      <w:pPr>
        <w:widowControl w:val="0"/>
        <w:ind w:firstLine="482"/>
        <w:rPr>
          <w:rFonts w:ascii="宋体" w:hAnsi="宋体" w:eastAsia="宋体"/>
          <w:bCs/>
        </w:rPr>
      </w:pPr>
      <w:r>
        <w:rPr>
          <w:rFonts w:hint="eastAsia" w:ascii="宋体" w:hAnsi="宋体" w:eastAsia="宋体"/>
          <w:b/>
        </w:rPr>
        <w:t>第二十八条</w:t>
      </w:r>
      <w:r>
        <w:rPr>
          <w:rFonts w:hint="eastAsia" w:ascii="宋体" w:hAnsi="宋体" w:eastAsia="宋体"/>
          <w:bCs/>
        </w:rPr>
        <w:t xml:space="preserve"> 火灾隐患未消除前，责任部门或工区应严格做好相关防范措施，保障消防安全。</w:t>
      </w:r>
    </w:p>
    <w:p>
      <w:pPr>
        <w:widowControl w:val="0"/>
        <w:ind w:firstLine="482"/>
        <w:rPr>
          <w:rFonts w:ascii="宋体" w:hAnsi="宋体" w:eastAsia="宋体"/>
          <w:bCs/>
        </w:rPr>
      </w:pPr>
      <w:r>
        <w:rPr>
          <w:rFonts w:hint="eastAsia" w:ascii="宋体" w:hAnsi="宋体" w:eastAsia="宋体"/>
          <w:b/>
        </w:rPr>
        <w:t>第二十九条</w:t>
      </w:r>
      <w:r>
        <w:rPr>
          <w:rFonts w:hint="eastAsia" w:ascii="宋体" w:hAnsi="宋体" w:eastAsia="宋体"/>
          <w:bCs/>
        </w:rPr>
        <w:t xml:space="preserve"> 责任部门或工区根据确定的整改措施，将火灾隐患整改完毕并验收合格后，应及时填写整改情况记录，由整改人、验收人签字确认后报消防工作领导小组办公室，消防工作领导小组办公室签字并存档备查。</w:t>
      </w:r>
    </w:p>
    <w:p>
      <w:pPr>
        <w:widowControl w:val="0"/>
        <w:ind w:firstLine="482"/>
        <w:rPr>
          <w:rFonts w:ascii="宋体" w:hAnsi="宋体" w:eastAsia="宋体"/>
          <w:bCs/>
        </w:rPr>
      </w:pPr>
      <w:r>
        <w:rPr>
          <w:rFonts w:hint="eastAsia" w:ascii="宋体" w:hAnsi="宋体" w:eastAsia="宋体"/>
          <w:b/>
        </w:rPr>
        <w:t>第三十条</w:t>
      </w:r>
      <w:r>
        <w:rPr>
          <w:rFonts w:hint="eastAsia" w:ascii="宋体" w:hAnsi="宋体" w:eastAsia="宋体"/>
          <w:bCs/>
        </w:rPr>
        <w:t xml:space="preserve"> 对公安消防机构责令限期整改的火灾隐患，责任部门或工区应在制度期限内整改，并写出火灾隐患整改复函报送公安消防机构，同时报公司消防工作领导小组办公室存档。</w:t>
      </w:r>
      <w:bookmarkStart w:id="115" w:name="_Toc23719"/>
    </w:p>
    <w:p>
      <w:pPr>
        <w:pStyle w:val="3"/>
        <w:widowControl w:val="0"/>
      </w:pPr>
      <w:bookmarkStart w:id="116" w:name="_Toc14386"/>
      <w:r>
        <w:rPr>
          <w:rFonts w:hint="eastAsia"/>
        </w:rPr>
        <w:t>第八章 监督与考核</w:t>
      </w:r>
      <w:bookmarkEnd w:id="115"/>
      <w:bookmarkEnd w:id="116"/>
    </w:p>
    <w:p>
      <w:pPr>
        <w:widowControl w:val="0"/>
        <w:ind w:firstLine="482"/>
        <w:rPr>
          <w:rFonts w:ascii="宋体" w:hAnsi="宋体" w:eastAsia="宋体"/>
          <w:b/>
        </w:rPr>
      </w:pPr>
      <w:r>
        <w:rPr>
          <w:rFonts w:hint="eastAsia" w:ascii="宋体" w:hAnsi="宋体" w:eastAsia="宋体"/>
          <w:b/>
        </w:rPr>
        <w:t xml:space="preserve">第三十一条 </w:t>
      </w:r>
      <w:r>
        <w:rPr>
          <w:rFonts w:hint="eastAsia" w:ascii="宋体" w:hAnsi="宋体" w:eastAsia="宋体"/>
          <w:bCs/>
        </w:rPr>
        <w:t>消防安全工作将纳入内部检查、考核、评比内容。对在消防安全工作中成绩突出的集体和个人，应当给予表彰奖励。对未依法履行消防安全职责或者违反消防安全管理的行为，应当依照有关制度对责任人员给予行政纪律处分或者其他处理，构成犯罪的，依法追究刑事责任。</w:t>
      </w:r>
    </w:p>
    <w:p>
      <w:pPr>
        <w:widowControl w:val="0"/>
        <w:ind w:firstLine="482"/>
        <w:rPr>
          <w:rFonts w:ascii="宋体" w:hAnsi="宋体" w:eastAsia="宋体"/>
          <w:bCs/>
        </w:rPr>
      </w:pPr>
      <w:r>
        <w:rPr>
          <w:rFonts w:hint="eastAsia" w:ascii="宋体" w:hAnsi="宋体" w:eastAsia="宋体"/>
          <w:b/>
        </w:rPr>
        <w:t>第三十二条</w:t>
      </w:r>
      <w:r>
        <w:rPr>
          <w:rFonts w:hint="eastAsia" w:ascii="宋体" w:hAnsi="宋体" w:eastAsia="宋体"/>
          <w:bCs/>
        </w:rPr>
        <w:t xml:space="preserve"> 总承包项目部及各工区项目部应按照消防安全职责，定期开展消防安全监督检查。</w:t>
      </w:r>
    </w:p>
    <w:p>
      <w:pPr>
        <w:widowControl w:val="0"/>
        <w:ind w:firstLine="482"/>
        <w:rPr>
          <w:rFonts w:ascii="宋体" w:hAnsi="宋体" w:eastAsia="宋体"/>
          <w:bCs/>
        </w:rPr>
      </w:pPr>
      <w:r>
        <w:rPr>
          <w:rFonts w:hint="eastAsia" w:ascii="宋体" w:hAnsi="宋体" w:eastAsia="宋体"/>
          <w:b/>
        </w:rPr>
        <w:t>第三十三条</w:t>
      </w:r>
      <w:r>
        <w:rPr>
          <w:rFonts w:hint="eastAsia" w:ascii="宋体" w:hAnsi="宋体" w:eastAsia="宋体"/>
          <w:bCs/>
        </w:rPr>
        <w:t xml:space="preserve"> 总承包项目部定期或不定期开展消防安全检查，检查结果及时通报，必要时对重大火灾隐患挂牌督办。</w:t>
      </w:r>
    </w:p>
    <w:p>
      <w:pPr>
        <w:widowControl w:val="0"/>
        <w:ind w:firstLine="482"/>
        <w:rPr>
          <w:rFonts w:ascii="宋体" w:hAnsi="宋体" w:eastAsia="宋体"/>
          <w:bCs/>
        </w:rPr>
      </w:pPr>
      <w:r>
        <w:rPr>
          <w:rFonts w:hint="eastAsia" w:ascii="宋体" w:hAnsi="宋体" w:eastAsia="宋体"/>
          <w:b/>
        </w:rPr>
        <w:t>第三十四条</w:t>
      </w:r>
      <w:r>
        <w:rPr>
          <w:rFonts w:hint="eastAsia" w:ascii="宋体" w:hAnsi="宋体" w:eastAsia="宋体"/>
          <w:bCs/>
        </w:rPr>
        <w:t xml:space="preserve"> 因工作玩忽职守，给项目造成重大影响和损失的，总承包项目部及各工区项目部可要求其承担民事赔偿责任。触犯国家有关消防安全法律、法规的，应依法移交司法机关，追究其法律责任。</w:t>
      </w:r>
      <w:bookmarkStart w:id="117" w:name="_Toc1969"/>
    </w:p>
    <w:p>
      <w:pPr>
        <w:pStyle w:val="3"/>
        <w:widowControl w:val="0"/>
      </w:pPr>
      <w:bookmarkStart w:id="118" w:name="_Toc19818"/>
      <w:r>
        <w:rPr>
          <w:rFonts w:hint="eastAsia"/>
        </w:rPr>
        <w:t>第九章 附则</w:t>
      </w:r>
      <w:bookmarkEnd w:id="117"/>
      <w:bookmarkEnd w:id="118"/>
    </w:p>
    <w:p>
      <w:pPr>
        <w:widowControl w:val="0"/>
        <w:ind w:firstLine="482"/>
        <w:rPr>
          <w:rFonts w:ascii="宋体" w:hAnsi="宋体" w:eastAsia="宋体"/>
          <w:bCs/>
        </w:rPr>
      </w:pPr>
      <w:r>
        <w:rPr>
          <w:rFonts w:hint="eastAsia" w:ascii="宋体" w:hAnsi="宋体" w:eastAsia="宋体"/>
          <w:b/>
        </w:rPr>
        <w:t>第三十五条</w:t>
      </w:r>
      <w:r>
        <w:rPr>
          <w:rFonts w:hint="eastAsia" w:ascii="宋体" w:hAnsi="宋体" w:eastAsia="宋体"/>
          <w:bCs/>
        </w:rPr>
        <w:t xml:space="preserve"> 本制度由总承包项目部安质环保部负责解释。</w:t>
      </w:r>
    </w:p>
    <w:p>
      <w:pPr>
        <w:widowControl w:val="0"/>
        <w:ind w:firstLine="482"/>
        <w:rPr>
          <w:rFonts w:ascii="宋体" w:hAnsi="宋体" w:eastAsia="宋体"/>
          <w:bCs/>
        </w:rPr>
      </w:pPr>
      <w:r>
        <w:rPr>
          <w:rFonts w:hint="eastAsia" w:ascii="宋体" w:hAnsi="宋体" w:eastAsia="宋体"/>
          <w:b/>
        </w:rPr>
        <w:t>第三十六条</w:t>
      </w:r>
      <w:r>
        <w:rPr>
          <w:rFonts w:hint="eastAsia" w:ascii="宋体" w:hAnsi="宋体" w:eastAsia="宋体"/>
          <w:bCs/>
        </w:rPr>
        <w:t xml:space="preserve"> 本制度自下发之日起执行。</w:t>
      </w:r>
    </w:p>
    <w:p>
      <w:pPr>
        <w:widowControl w:val="0"/>
        <w:spacing w:line="560" w:lineRule="exact"/>
        <w:ind w:firstLine="640"/>
        <w:rPr>
          <w:rFonts w:ascii="仿宋_GB2312" w:eastAsia="仿宋_GB2312"/>
          <w:sz w:val="32"/>
          <w:szCs w:val="32"/>
        </w:rPr>
      </w:pPr>
    </w:p>
    <w:p>
      <w:pPr>
        <w:widowControl w:val="0"/>
        <w:ind w:firstLine="482"/>
        <w:rPr>
          <w:rFonts w:hint="eastAsia" w:eastAsia="宋体"/>
          <w:bCs/>
          <w:lang w:eastAsia="zh-CN"/>
        </w:rPr>
      </w:pPr>
      <w:r>
        <w:rPr>
          <w:rFonts w:hint="eastAsia" w:ascii="宋体" w:hAnsi="宋体" w:eastAsia="宋体"/>
          <w:b/>
        </w:rPr>
        <w:t>附件</w:t>
      </w:r>
      <w:r>
        <w:rPr>
          <w:rFonts w:hint="eastAsia" w:eastAsia="宋体"/>
          <w:b/>
        </w:rPr>
        <w:t>1：</w:t>
      </w:r>
      <w:r>
        <w:rPr>
          <w:rFonts w:hint="eastAsia" w:eastAsia="宋体"/>
          <w:bCs/>
        </w:rPr>
        <w:t>消防设施、器材管理</w:t>
      </w:r>
      <w:r>
        <w:rPr>
          <w:rFonts w:hint="eastAsia" w:eastAsia="宋体"/>
          <w:bCs/>
          <w:lang w:eastAsia="zh-CN"/>
        </w:rPr>
        <w:t>台账</w:t>
      </w:r>
    </w:p>
    <w:p>
      <w:pPr>
        <w:widowControl w:val="0"/>
        <w:ind w:left="480" w:leftChars="200" w:firstLine="0" w:firstLineChars="0"/>
        <w:rPr>
          <w:rFonts w:ascii="宋体" w:hAnsi="宋体" w:eastAsia="宋体"/>
          <w:bCs/>
        </w:rPr>
      </w:pPr>
      <w:r>
        <w:rPr>
          <w:rFonts w:hint="eastAsia" w:ascii="宋体" w:hAnsi="宋体" w:eastAsia="宋体"/>
          <w:b/>
        </w:rPr>
        <w:t>附件2：</w:t>
      </w:r>
      <w:r>
        <w:rPr>
          <w:rFonts w:hint="eastAsia" w:eastAsia="宋体"/>
          <w:bCs/>
        </w:rPr>
        <w:t>防</w:t>
      </w:r>
      <w:r>
        <w:rPr>
          <w:rFonts w:hint="eastAsia" w:ascii="宋体" w:hAnsi="宋体" w:eastAsia="宋体"/>
          <w:bCs/>
        </w:rPr>
        <w:t>火巡视检查记录表</w:t>
      </w:r>
    </w:p>
    <w:p>
      <w:pPr>
        <w:widowControl w:val="0"/>
        <w:ind w:firstLine="0" w:firstLineChars="0"/>
        <w:rPr>
          <w:rFonts w:ascii="宋体" w:hAnsi="宋体" w:eastAsia="宋体"/>
          <w:bCs/>
        </w:rPr>
      </w:pPr>
    </w:p>
    <w:p>
      <w:pPr>
        <w:widowControl w:val="0"/>
        <w:ind w:firstLine="480"/>
        <w:rPr>
          <w:rFonts w:ascii="宋体" w:hAnsi="宋体" w:eastAsia="宋体"/>
          <w:bCs/>
        </w:rPr>
      </w:pPr>
      <w:r>
        <w:rPr>
          <w:rFonts w:ascii="宋体" w:hAnsi="宋体" w:eastAsia="宋体"/>
          <w:bCs/>
        </w:rPr>
        <w:br w:type="page"/>
      </w:r>
    </w:p>
    <w:p>
      <w:pPr>
        <w:ind w:firstLine="0" w:firstLineChars="0"/>
        <w:rPr>
          <w:b/>
          <w:bCs/>
        </w:rPr>
      </w:pPr>
      <w:bookmarkStart w:id="119" w:name="_Toc9420"/>
      <w:r>
        <w:rPr>
          <w:rFonts w:hint="eastAsia"/>
          <w:b/>
          <w:bCs/>
        </w:rPr>
        <w:t>附件</w:t>
      </w:r>
      <w:r>
        <w:rPr>
          <w:b/>
          <w:bCs/>
        </w:rPr>
        <w:t>1</w:t>
      </w:r>
      <w:bookmarkEnd w:id="119"/>
    </w:p>
    <w:p>
      <w:pPr>
        <w:widowControl w:val="0"/>
        <w:ind w:firstLine="640"/>
        <w:jc w:val="center"/>
        <w:rPr>
          <w:rFonts w:hint="eastAsia" w:eastAsia="黑体"/>
          <w:sz w:val="32"/>
          <w:szCs w:val="32"/>
          <w:lang w:eastAsia="zh-CN"/>
        </w:rPr>
      </w:pPr>
      <w:r>
        <w:rPr>
          <w:rFonts w:hint="eastAsia" w:eastAsia="黑体"/>
          <w:sz w:val="32"/>
          <w:szCs w:val="32"/>
        </w:rPr>
        <w:t>消防设施、器材管理</w:t>
      </w:r>
      <w:r>
        <w:rPr>
          <w:rFonts w:hint="eastAsia" w:eastAsia="黑体"/>
          <w:sz w:val="32"/>
          <w:szCs w:val="32"/>
          <w:lang w:eastAsia="zh-CN"/>
        </w:rPr>
        <w:t>台账</w:t>
      </w:r>
    </w:p>
    <w:tbl>
      <w:tblPr>
        <w:tblStyle w:val="22"/>
        <w:tblW w:w="90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1"/>
        <w:gridCol w:w="709"/>
        <w:gridCol w:w="1277"/>
        <w:gridCol w:w="720"/>
        <w:gridCol w:w="696"/>
        <w:gridCol w:w="709"/>
        <w:gridCol w:w="992"/>
        <w:gridCol w:w="851"/>
        <w:gridCol w:w="981"/>
        <w:gridCol w:w="1013"/>
        <w:gridCol w:w="6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531" w:type="dxa"/>
            <w:tcBorders>
              <w:top w:val="single" w:color="auto" w:sz="8" w:space="0"/>
              <w:left w:val="single" w:color="auto" w:sz="8" w:space="0"/>
              <w:bottom w:val="single" w:color="auto" w:sz="4" w:space="0"/>
              <w:right w:val="single" w:color="auto" w:sz="4" w:space="0"/>
            </w:tcBorders>
            <w:vAlign w:val="center"/>
          </w:tcPr>
          <w:p>
            <w:pPr>
              <w:widowControl w:val="0"/>
              <w:ind w:firstLine="0" w:firstLineChars="0"/>
              <w:rPr>
                <w:rFonts w:eastAsia="仿宋_GB2312"/>
              </w:rPr>
            </w:pPr>
            <w:r>
              <w:rPr>
                <w:rFonts w:hint="eastAsia" w:eastAsia="仿宋_GB2312"/>
              </w:rPr>
              <w:t>序号</w:t>
            </w:r>
          </w:p>
        </w:tc>
        <w:tc>
          <w:tcPr>
            <w:tcW w:w="709" w:type="dxa"/>
            <w:tcBorders>
              <w:top w:val="single" w:color="auto" w:sz="8" w:space="0"/>
              <w:left w:val="single" w:color="auto" w:sz="4" w:space="0"/>
              <w:bottom w:val="single" w:color="auto" w:sz="4" w:space="0"/>
              <w:right w:val="single" w:color="auto" w:sz="4" w:space="0"/>
            </w:tcBorders>
            <w:vAlign w:val="center"/>
          </w:tcPr>
          <w:p>
            <w:pPr>
              <w:widowControl w:val="0"/>
              <w:ind w:firstLine="0" w:firstLineChars="0"/>
              <w:rPr>
                <w:rFonts w:eastAsia="仿宋_GB2312"/>
              </w:rPr>
            </w:pPr>
            <w:r>
              <w:rPr>
                <w:rFonts w:hint="eastAsia" w:eastAsia="仿宋_GB2312"/>
              </w:rPr>
              <w:t>编号</w:t>
            </w:r>
          </w:p>
        </w:tc>
        <w:tc>
          <w:tcPr>
            <w:tcW w:w="1277" w:type="dxa"/>
            <w:tcBorders>
              <w:top w:val="single" w:color="auto" w:sz="8" w:space="0"/>
              <w:left w:val="single" w:color="auto" w:sz="4" w:space="0"/>
              <w:bottom w:val="single" w:color="auto" w:sz="4" w:space="0"/>
              <w:right w:val="single" w:color="auto" w:sz="4" w:space="0"/>
            </w:tcBorders>
            <w:vAlign w:val="center"/>
          </w:tcPr>
          <w:p>
            <w:pPr>
              <w:widowControl w:val="0"/>
              <w:ind w:firstLine="0" w:firstLineChars="0"/>
              <w:jc w:val="center"/>
              <w:rPr>
                <w:rFonts w:eastAsia="仿宋_GB2312"/>
              </w:rPr>
            </w:pPr>
            <w:r>
              <w:rPr>
                <w:rFonts w:hint="eastAsia" w:eastAsia="仿宋_GB2312"/>
              </w:rPr>
              <w:t>名称</w:t>
            </w:r>
          </w:p>
        </w:tc>
        <w:tc>
          <w:tcPr>
            <w:tcW w:w="720" w:type="dxa"/>
            <w:tcBorders>
              <w:top w:val="single" w:color="auto" w:sz="8" w:space="0"/>
              <w:left w:val="single" w:color="auto" w:sz="4" w:space="0"/>
              <w:bottom w:val="single" w:color="auto" w:sz="4" w:space="0"/>
              <w:right w:val="single" w:color="auto" w:sz="4" w:space="0"/>
            </w:tcBorders>
            <w:vAlign w:val="center"/>
          </w:tcPr>
          <w:p>
            <w:pPr>
              <w:widowControl w:val="0"/>
              <w:ind w:firstLine="0" w:firstLineChars="0"/>
              <w:rPr>
                <w:rFonts w:eastAsia="仿宋_GB2312"/>
              </w:rPr>
            </w:pPr>
            <w:r>
              <w:rPr>
                <w:rFonts w:hint="eastAsia" w:eastAsia="仿宋_GB2312"/>
              </w:rPr>
              <w:t>规格</w:t>
            </w:r>
          </w:p>
        </w:tc>
        <w:tc>
          <w:tcPr>
            <w:tcW w:w="696" w:type="dxa"/>
            <w:tcBorders>
              <w:top w:val="single" w:color="auto" w:sz="8" w:space="0"/>
              <w:left w:val="single" w:color="auto" w:sz="4" w:space="0"/>
              <w:bottom w:val="single" w:color="auto" w:sz="4" w:space="0"/>
              <w:right w:val="single" w:color="auto" w:sz="4" w:space="0"/>
            </w:tcBorders>
            <w:vAlign w:val="center"/>
          </w:tcPr>
          <w:p>
            <w:pPr>
              <w:widowControl w:val="0"/>
              <w:ind w:firstLine="0" w:firstLineChars="0"/>
              <w:rPr>
                <w:rFonts w:eastAsia="仿宋_GB2312"/>
              </w:rPr>
            </w:pPr>
            <w:r>
              <w:rPr>
                <w:rFonts w:hint="eastAsia" w:eastAsia="仿宋_GB2312"/>
              </w:rPr>
              <w:t>位置</w:t>
            </w:r>
          </w:p>
        </w:tc>
        <w:tc>
          <w:tcPr>
            <w:tcW w:w="709" w:type="dxa"/>
            <w:tcBorders>
              <w:top w:val="single" w:color="auto" w:sz="8" w:space="0"/>
              <w:left w:val="single" w:color="auto" w:sz="4" w:space="0"/>
              <w:bottom w:val="single" w:color="auto" w:sz="4" w:space="0"/>
              <w:right w:val="single" w:color="auto" w:sz="4" w:space="0"/>
            </w:tcBorders>
            <w:vAlign w:val="center"/>
          </w:tcPr>
          <w:p>
            <w:pPr>
              <w:widowControl w:val="0"/>
              <w:ind w:firstLine="0" w:firstLineChars="0"/>
              <w:rPr>
                <w:rFonts w:eastAsia="仿宋_GB2312"/>
              </w:rPr>
            </w:pPr>
            <w:r>
              <w:rPr>
                <w:rFonts w:hint="eastAsia" w:eastAsia="仿宋_GB2312"/>
              </w:rPr>
              <w:t>数量</w:t>
            </w:r>
          </w:p>
        </w:tc>
        <w:tc>
          <w:tcPr>
            <w:tcW w:w="992" w:type="dxa"/>
            <w:tcBorders>
              <w:top w:val="single" w:color="auto" w:sz="8" w:space="0"/>
              <w:left w:val="single" w:color="auto" w:sz="4" w:space="0"/>
              <w:bottom w:val="single" w:color="auto" w:sz="4" w:space="0"/>
              <w:right w:val="single" w:color="auto" w:sz="4" w:space="0"/>
            </w:tcBorders>
            <w:vAlign w:val="center"/>
          </w:tcPr>
          <w:p>
            <w:pPr>
              <w:widowControl w:val="0"/>
              <w:ind w:firstLine="0" w:firstLineChars="0"/>
              <w:rPr>
                <w:rFonts w:eastAsia="仿宋_GB2312"/>
              </w:rPr>
            </w:pPr>
            <w:r>
              <w:rPr>
                <w:rFonts w:hint="eastAsia" w:eastAsia="仿宋_GB2312"/>
              </w:rPr>
              <w:t>制度检验周期</w:t>
            </w:r>
          </w:p>
        </w:tc>
        <w:tc>
          <w:tcPr>
            <w:tcW w:w="851" w:type="dxa"/>
            <w:tcBorders>
              <w:top w:val="single" w:color="auto" w:sz="8" w:space="0"/>
              <w:left w:val="single" w:color="auto" w:sz="4" w:space="0"/>
              <w:right w:val="single" w:color="auto" w:sz="4" w:space="0"/>
            </w:tcBorders>
            <w:vAlign w:val="center"/>
          </w:tcPr>
          <w:p>
            <w:pPr>
              <w:widowControl w:val="0"/>
              <w:ind w:firstLine="0" w:firstLineChars="0"/>
              <w:jc w:val="center"/>
              <w:rPr>
                <w:rFonts w:eastAsia="仿宋_GB2312"/>
              </w:rPr>
            </w:pPr>
            <w:r>
              <w:rPr>
                <w:rFonts w:hint="eastAsia" w:eastAsia="仿宋_GB2312"/>
              </w:rPr>
              <w:t>到检</w:t>
            </w:r>
          </w:p>
          <w:p>
            <w:pPr>
              <w:widowControl w:val="0"/>
              <w:ind w:firstLine="0" w:firstLineChars="0"/>
              <w:jc w:val="center"/>
              <w:rPr>
                <w:rFonts w:eastAsia="仿宋_GB2312"/>
              </w:rPr>
            </w:pPr>
            <w:r>
              <w:rPr>
                <w:rFonts w:hint="eastAsia" w:eastAsia="仿宋_GB2312"/>
              </w:rPr>
              <w:t>日期</w:t>
            </w:r>
          </w:p>
        </w:tc>
        <w:tc>
          <w:tcPr>
            <w:tcW w:w="981" w:type="dxa"/>
            <w:tcBorders>
              <w:top w:val="single" w:color="auto" w:sz="8" w:space="0"/>
              <w:left w:val="single" w:color="auto" w:sz="4" w:space="0"/>
              <w:right w:val="single" w:color="auto" w:sz="4" w:space="0"/>
            </w:tcBorders>
            <w:vAlign w:val="center"/>
          </w:tcPr>
          <w:p>
            <w:pPr>
              <w:widowControl w:val="0"/>
              <w:ind w:firstLine="0" w:firstLineChars="0"/>
              <w:jc w:val="center"/>
              <w:rPr>
                <w:rFonts w:eastAsia="仿宋_GB2312"/>
              </w:rPr>
            </w:pPr>
            <w:r>
              <w:rPr>
                <w:rFonts w:hint="eastAsia" w:eastAsia="仿宋_GB2312"/>
              </w:rPr>
              <w:t>存放</w:t>
            </w:r>
          </w:p>
          <w:p>
            <w:pPr>
              <w:widowControl w:val="0"/>
              <w:ind w:firstLine="0" w:firstLineChars="0"/>
              <w:jc w:val="center"/>
              <w:rPr>
                <w:rFonts w:eastAsia="仿宋_GB2312"/>
              </w:rPr>
            </w:pPr>
            <w:r>
              <w:rPr>
                <w:rFonts w:hint="eastAsia" w:eastAsia="仿宋_GB2312"/>
              </w:rPr>
              <w:t>地点</w:t>
            </w:r>
          </w:p>
        </w:tc>
        <w:tc>
          <w:tcPr>
            <w:tcW w:w="1013" w:type="dxa"/>
            <w:tcBorders>
              <w:top w:val="single" w:color="auto" w:sz="8" w:space="0"/>
              <w:left w:val="single" w:color="auto" w:sz="4" w:space="0"/>
              <w:bottom w:val="single" w:color="auto" w:sz="4" w:space="0"/>
              <w:right w:val="single" w:color="auto" w:sz="4" w:space="0"/>
            </w:tcBorders>
            <w:vAlign w:val="center"/>
          </w:tcPr>
          <w:p>
            <w:pPr>
              <w:widowControl w:val="0"/>
              <w:ind w:firstLine="0" w:firstLineChars="0"/>
              <w:rPr>
                <w:rFonts w:eastAsia="仿宋_GB2312"/>
              </w:rPr>
            </w:pPr>
            <w:r>
              <w:rPr>
                <w:rFonts w:hint="eastAsia" w:eastAsia="仿宋_GB2312"/>
              </w:rPr>
              <w:t>责任人</w:t>
            </w:r>
          </w:p>
        </w:tc>
        <w:tc>
          <w:tcPr>
            <w:tcW w:w="604" w:type="dxa"/>
            <w:tcBorders>
              <w:top w:val="single" w:color="auto" w:sz="8" w:space="0"/>
              <w:left w:val="single" w:color="auto" w:sz="4" w:space="0"/>
              <w:bottom w:val="single" w:color="auto" w:sz="4" w:space="0"/>
              <w:right w:val="single" w:color="auto" w:sz="8" w:space="0"/>
            </w:tcBorders>
            <w:vAlign w:val="center"/>
          </w:tcPr>
          <w:p>
            <w:pPr>
              <w:widowControl w:val="0"/>
              <w:ind w:firstLine="0" w:firstLineChars="0"/>
              <w:jc w:val="center"/>
              <w:rPr>
                <w:rFonts w:eastAsia="仿宋_GB2312"/>
              </w:rPr>
            </w:pPr>
            <w:r>
              <w:rPr>
                <w:rFonts w:hint="eastAsia" w:eastAsia="仿宋_GB231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rPr>
                <w:rFonts w:eastAsia="仿宋_GB2312"/>
              </w:rP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rPr>
                <w:rFonts w:eastAsia="仿宋_GB2312"/>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31" w:type="dxa"/>
            <w:tcBorders>
              <w:top w:val="single" w:color="auto" w:sz="4" w:space="0"/>
              <w:left w:val="single" w:color="auto" w:sz="8"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85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981" w:type="dxa"/>
            <w:tcBorders>
              <w:top w:val="single" w:color="auto" w:sz="4" w:space="0"/>
              <w:left w:val="single" w:color="auto" w:sz="4" w:space="0"/>
              <w:bottom w:val="single" w:color="auto" w:sz="4" w:space="0"/>
              <w:right w:val="single" w:color="auto" w:sz="4" w:space="0"/>
            </w:tcBorders>
          </w:tcPr>
          <w:p>
            <w:pPr>
              <w:widowControl w:val="0"/>
              <w:ind w:firstLine="480"/>
              <w:jc w:val="cente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ind w:firstLine="480"/>
              <w:jc w:val="center"/>
            </w:pPr>
          </w:p>
        </w:tc>
        <w:tc>
          <w:tcPr>
            <w:tcW w:w="604" w:type="dxa"/>
            <w:tcBorders>
              <w:top w:val="single" w:color="auto" w:sz="4" w:space="0"/>
              <w:left w:val="single" w:color="auto" w:sz="4" w:space="0"/>
              <w:bottom w:val="single" w:color="auto" w:sz="4" w:space="0"/>
              <w:right w:val="single" w:color="auto" w:sz="8" w:space="0"/>
            </w:tcBorders>
            <w:vAlign w:val="center"/>
          </w:tcPr>
          <w:p>
            <w:pPr>
              <w:widowControl w:val="0"/>
              <w:ind w:firstLine="480"/>
              <w:jc w:val="center"/>
            </w:pPr>
          </w:p>
        </w:tc>
      </w:tr>
    </w:tbl>
    <w:p>
      <w:pPr>
        <w:widowControl w:val="0"/>
        <w:spacing w:line="420" w:lineRule="exact"/>
        <w:ind w:firstLine="480"/>
        <w:rPr>
          <w:rFonts w:ascii="宋体" w:hAnsi="宋体"/>
        </w:rPr>
      </w:pPr>
      <w:r>
        <w:rPr>
          <w:rFonts w:hint="eastAsia" w:ascii="宋体" w:hAnsi="宋体"/>
        </w:rPr>
        <w:t>制表人：                                   责任人：</w:t>
      </w:r>
    </w:p>
    <w:p>
      <w:pPr>
        <w:widowControl w:val="0"/>
        <w:ind w:firstLine="480"/>
        <w:sectPr>
          <w:footerReference r:id="rId9" w:type="default"/>
          <w:pgSz w:w="11906" w:h="16838"/>
          <w:pgMar w:top="1440" w:right="1800" w:bottom="1440" w:left="1800" w:header="851" w:footer="992" w:gutter="0"/>
          <w:pgNumType w:start="1"/>
          <w:cols w:space="425" w:num="1"/>
          <w:docGrid w:type="lines" w:linePitch="312" w:charSpace="0"/>
        </w:sectPr>
      </w:pPr>
    </w:p>
    <w:p>
      <w:pPr>
        <w:ind w:firstLine="0" w:firstLineChars="0"/>
        <w:rPr>
          <w:b/>
          <w:bCs/>
        </w:rPr>
      </w:pPr>
      <w:bookmarkStart w:id="120" w:name="_Toc17860"/>
      <w:r>
        <w:rPr>
          <w:rFonts w:hint="eastAsia"/>
          <w:b/>
          <w:bCs/>
        </w:rPr>
        <w:t>附件</w:t>
      </w:r>
      <w:r>
        <w:rPr>
          <w:b/>
          <w:bCs/>
        </w:rPr>
        <w:t>2</w:t>
      </w:r>
      <w:bookmarkEnd w:id="120"/>
    </w:p>
    <w:p>
      <w:pPr>
        <w:widowControl w:val="0"/>
        <w:spacing w:line="360" w:lineRule="exact"/>
        <w:ind w:firstLine="723"/>
        <w:jc w:val="center"/>
        <w:rPr>
          <w:rFonts w:ascii="宋体" w:hAnsi="宋体"/>
          <w:b/>
          <w:sz w:val="36"/>
          <w:szCs w:val="36"/>
        </w:rPr>
      </w:pPr>
      <w:r>
        <w:rPr>
          <w:rFonts w:hint="eastAsia" w:ascii="宋体" w:hAnsi="宋体"/>
          <w:b/>
          <w:sz w:val="36"/>
          <w:szCs w:val="36"/>
        </w:rPr>
        <w:t>防火巡视检查记录表</w:t>
      </w:r>
    </w:p>
    <w:p>
      <w:pPr>
        <w:widowControl w:val="0"/>
        <w:spacing w:line="360" w:lineRule="exact"/>
        <w:ind w:firstLine="560"/>
        <w:rPr>
          <w:rFonts w:ascii="宋体" w:hAnsi="宋体"/>
          <w:sz w:val="28"/>
          <w:szCs w:val="28"/>
        </w:rPr>
      </w:pPr>
      <w:r>
        <w:rPr>
          <w:rFonts w:hint="eastAsia" w:ascii="宋体" w:hAnsi="宋体"/>
          <w:sz w:val="28"/>
          <w:szCs w:val="28"/>
        </w:rPr>
        <w:t>工区名称：</w:t>
      </w:r>
      <w:r>
        <w:rPr>
          <w:rFonts w:hint="eastAsia" w:ascii="宋体" w:hAnsi="宋体"/>
          <w:b/>
          <w:sz w:val="28"/>
          <w:szCs w:val="28"/>
        </w:rPr>
        <w:t xml:space="preserve">                                                                     </w:t>
      </w:r>
      <w:r>
        <w:rPr>
          <w:rFonts w:hint="eastAsia" w:ascii="宋体" w:hAnsi="宋体"/>
          <w:b/>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p>
    <w:tbl>
      <w:tblPr>
        <w:tblStyle w:val="22"/>
        <w:tblW w:w="14484" w:type="dxa"/>
        <w:tblInd w:w="-207" w:type="dxa"/>
        <w:tblLayout w:type="fixed"/>
        <w:tblCellMar>
          <w:top w:w="0" w:type="dxa"/>
          <w:left w:w="108" w:type="dxa"/>
          <w:bottom w:w="0" w:type="dxa"/>
          <w:right w:w="108" w:type="dxa"/>
        </w:tblCellMar>
      </w:tblPr>
      <w:tblGrid>
        <w:gridCol w:w="735"/>
        <w:gridCol w:w="998"/>
        <w:gridCol w:w="567"/>
        <w:gridCol w:w="709"/>
        <w:gridCol w:w="708"/>
        <w:gridCol w:w="1089"/>
        <w:gridCol w:w="1397"/>
        <w:gridCol w:w="958"/>
        <w:gridCol w:w="1208"/>
        <w:gridCol w:w="1469"/>
        <w:gridCol w:w="1134"/>
        <w:gridCol w:w="1024"/>
        <w:gridCol w:w="623"/>
        <w:gridCol w:w="559"/>
        <w:gridCol w:w="665"/>
        <w:gridCol w:w="641"/>
      </w:tblGrid>
      <w:tr>
        <w:tblPrEx>
          <w:tblCellMar>
            <w:top w:w="0" w:type="dxa"/>
            <w:left w:w="108" w:type="dxa"/>
            <w:bottom w:w="0" w:type="dxa"/>
            <w:right w:w="108" w:type="dxa"/>
          </w:tblCellMar>
        </w:tblPrEx>
        <w:trPr>
          <w:trHeight w:val="514" w:hRule="atLeast"/>
        </w:trPr>
        <w:tc>
          <w:tcPr>
            <w:tcW w:w="7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巡查日期</w:t>
            </w:r>
          </w:p>
        </w:tc>
        <w:tc>
          <w:tcPr>
            <w:tcW w:w="99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巡查</w:t>
            </w:r>
          </w:p>
          <w:p>
            <w:pPr>
              <w:widowControl w:val="0"/>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地点</w:t>
            </w:r>
          </w:p>
        </w:tc>
        <w:tc>
          <w:tcPr>
            <w:tcW w:w="10263" w:type="dxa"/>
            <w:gridSpan w:val="10"/>
            <w:tcBorders>
              <w:top w:val="single" w:color="auto" w:sz="4" w:space="0"/>
              <w:left w:val="nil"/>
              <w:bottom w:val="single" w:color="auto" w:sz="4" w:space="0"/>
              <w:right w:val="single" w:color="000000"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防 火 巡 视 检 查 内 容</w:t>
            </w:r>
          </w:p>
        </w:tc>
        <w:tc>
          <w:tcPr>
            <w:tcW w:w="6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整改措施</w:t>
            </w:r>
          </w:p>
        </w:tc>
        <w:tc>
          <w:tcPr>
            <w:tcW w:w="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整改期限</w:t>
            </w:r>
          </w:p>
        </w:tc>
        <w:tc>
          <w:tcPr>
            <w:tcW w:w="6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整改责任人签字</w:t>
            </w:r>
          </w:p>
        </w:tc>
        <w:tc>
          <w:tcPr>
            <w:tcW w:w="64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备注</w:t>
            </w:r>
          </w:p>
        </w:tc>
      </w:tr>
      <w:tr>
        <w:tblPrEx>
          <w:tblCellMar>
            <w:top w:w="0" w:type="dxa"/>
            <w:left w:w="108" w:type="dxa"/>
            <w:bottom w:w="0" w:type="dxa"/>
            <w:right w:w="108" w:type="dxa"/>
          </w:tblCellMar>
        </w:tblPrEx>
        <w:trPr>
          <w:trHeight w:val="1153" w:hRule="atLeast"/>
        </w:trPr>
        <w:tc>
          <w:tcPr>
            <w:tcW w:w="735" w:type="dxa"/>
            <w:vMerge w:val="continue"/>
            <w:tcBorders>
              <w:top w:val="single" w:color="auto" w:sz="4" w:space="0"/>
              <w:left w:val="single" w:color="auto" w:sz="4" w:space="0"/>
              <w:bottom w:val="single" w:color="000000" w:sz="4" w:space="0"/>
              <w:right w:val="single" w:color="auto" w:sz="4" w:space="0"/>
            </w:tcBorders>
            <w:vAlign w:val="center"/>
          </w:tcPr>
          <w:p>
            <w:pPr>
              <w:widowControl w:val="0"/>
              <w:ind w:firstLine="480"/>
              <w:jc w:val="left"/>
              <w:rPr>
                <w:rFonts w:ascii="仿宋_GB2312" w:hAnsi="宋体" w:eastAsia="仿宋_GB2312" w:cs="宋体"/>
                <w:kern w:val="0"/>
                <w:szCs w:val="21"/>
              </w:rPr>
            </w:pPr>
          </w:p>
        </w:tc>
        <w:tc>
          <w:tcPr>
            <w:tcW w:w="998" w:type="dxa"/>
            <w:vMerge w:val="continue"/>
            <w:tcBorders>
              <w:top w:val="single" w:color="auto" w:sz="4" w:space="0"/>
              <w:left w:val="single" w:color="auto" w:sz="4" w:space="0"/>
              <w:bottom w:val="single" w:color="000000" w:sz="4" w:space="0"/>
              <w:right w:val="single" w:color="auto" w:sz="4" w:space="0"/>
            </w:tcBorders>
            <w:vAlign w:val="center"/>
          </w:tcPr>
          <w:p>
            <w:pPr>
              <w:widowControl w:val="0"/>
              <w:ind w:firstLine="480"/>
              <w:jc w:val="left"/>
              <w:rPr>
                <w:rFonts w:ascii="仿宋_GB2312" w:hAnsi="宋体"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用火情况</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用电情况</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szCs w:val="21"/>
              </w:rPr>
              <w:t>消防通道是否保持畅通</w:t>
            </w:r>
          </w:p>
        </w:tc>
        <w:tc>
          <w:tcPr>
            <w:tcW w:w="1089"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szCs w:val="21"/>
              </w:rPr>
              <w:t>安全疏散指示标志、应急照明灯具是否完好</w:t>
            </w:r>
          </w:p>
        </w:tc>
        <w:tc>
          <w:tcPr>
            <w:tcW w:w="1397"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szCs w:val="21"/>
              </w:rPr>
              <w:t>灭火器等消防器材、消防安全标志是否在位、完整</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szCs w:val="21"/>
              </w:rPr>
              <w:t>灭火器内的灭火剂是否过期</w:t>
            </w:r>
          </w:p>
        </w:tc>
        <w:tc>
          <w:tcPr>
            <w:tcW w:w="120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szCs w:val="21"/>
              </w:rPr>
              <w:t>消防自动报警系统等消防设施是否运行正常</w:t>
            </w:r>
          </w:p>
        </w:tc>
        <w:tc>
          <w:tcPr>
            <w:tcW w:w="1469"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szCs w:val="21"/>
              </w:rPr>
              <w:t>消防栓内各项器材是否完整、到位水源是否保持充足</w:t>
            </w:r>
          </w:p>
        </w:tc>
        <w:tc>
          <w:tcPr>
            <w:tcW w:w="1134" w:type="dxa"/>
            <w:tcBorders>
              <w:top w:val="nil"/>
              <w:left w:val="nil"/>
              <w:bottom w:val="single" w:color="auto" w:sz="4" w:space="0"/>
              <w:right w:val="single" w:color="auto" w:sz="4" w:space="0"/>
            </w:tcBorders>
            <w:shd w:val="clear" w:color="auto" w:fill="auto"/>
            <w:vAlign w:val="center"/>
          </w:tcPr>
          <w:p>
            <w:pPr>
              <w:widowControl w:val="0"/>
              <w:spacing w:line="240" w:lineRule="exact"/>
              <w:ind w:firstLine="0" w:firstLineChars="0"/>
              <w:rPr>
                <w:rFonts w:ascii="仿宋_GB2312" w:eastAsia="仿宋_GB2312"/>
              </w:rPr>
            </w:pPr>
            <w:r>
              <w:rPr>
                <w:rFonts w:hint="eastAsia" w:ascii="仿宋_GB2312" w:hAnsi="宋体" w:eastAsia="仿宋_GB2312"/>
                <w:szCs w:val="21"/>
              </w:rPr>
              <w:t>易燃易爆易腐危险品是否安全运输、保存、使用及销毁</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其他情况</w:t>
            </w:r>
          </w:p>
        </w:tc>
        <w:tc>
          <w:tcPr>
            <w:tcW w:w="623" w:type="dxa"/>
            <w:vMerge w:val="continue"/>
            <w:tcBorders>
              <w:top w:val="single" w:color="auto" w:sz="4" w:space="0"/>
              <w:left w:val="single" w:color="auto" w:sz="4" w:space="0"/>
              <w:bottom w:val="single" w:color="000000" w:sz="4" w:space="0"/>
              <w:right w:val="single" w:color="auto" w:sz="4" w:space="0"/>
            </w:tcBorders>
            <w:vAlign w:val="center"/>
          </w:tcPr>
          <w:p>
            <w:pPr>
              <w:widowControl w:val="0"/>
              <w:ind w:firstLine="480"/>
              <w:jc w:val="left"/>
              <w:rPr>
                <w:rFonts w:ascii="仿宋_GB2312" w:hAnsi="宋体" w:eastAsia="仿宋_GB2312" w:cs="宋体"/>
                <w:kern w:val="0"/>
                <w:szCs w:val="21"/>
              </w:rPr>
            </w:pPr>
          </w:p>
        </w:tc>
        <w:tc>
          <w:tcPr>
            <w:tcW w:w="559" w:type="dxa"/>
            <w:vMerge w:val="continue"/>
            <w:tcBorders>
              <w:top w:val="single" w:color="auto" w:sz="4" w:space="0"/>
              <w:left w:val="single" w:color="auto" w:sz="4" w:space="0"/>
              <w:bottom w:val="single" w:color="000000" w:sz="4" w:space="0"/>
              <w:right w:val="single" w:color="auto" w:sz="4" w:space="0"/>
            </w:tcBorders>
            <w:vAlign w:val="center"/>
          </w:tcPr>
          <w:p>
            <w:pPr>
              <w:widowControl w:val="0"/>
              <w:ind w:firstLine="480"/>
              <w:jc w:val="left"/>
              <w:rPr>
                <w:rFonts w:ascii="仿宋_GB2312" w:hAnsi="宋体" w:eastAsia="仿宋_GB2312" w:cs="宋体"/>
                <w:kern w:val="0"/>
                <w:szCs w:val="21"/>
              </w:rPr>
            </w:pPr>
          </w:p>
        </w:tc>
        <w:tc>
          <w:tcPr>
            <w:tcW w:w="665" w:type="dxa"/>
            <w:vMerge w:val="continue"/>
            <w:tcBorders>
              <w:top w:val="single" w:color="auto" w:sz="4" w:space="0"/>
              <w:left w:val="single" w:color="auto" w:sz="4" w:space="0"/>
              <w:bottom w:val="single" w:color="000000" w:sz="4" w:space="0"/>
              <w:right w:val="single" w:color="auto" w:sz="4" w:space="0"/>
            </w:tcBorders>
            <w:vAlign w:val="center"/>
          </w:tcPr>
          <w:p>
            <w:pPr>
              <w:widowControl w:val="0"/>
              <w:ind w:firstLine="480"/>
              <w:jc w:val="left"/>
              <w:rPr>
                <w:rFonts w:ascii="仿宋_GB2312" w:hAnsi="宋体" w:eastAsia="仿宋_GB2312" w:cs="宋体"/>
                <w:kern w:val="0"/>
                <w:szCs w:val="21"/>
              </w:rPr>
            </w:pPr>
          </w:p>
        </w:tc>
        <w:tc>
          <w:tcPr>
            <w:tcW w:w="641" w:type="dxa"/>
            <w:vMerge w:val="continue"/>
            <w:tcBorders>
              <w:top w:val="single" w:color="auto" w:sz="4" w:space="0"/>
              <w:left w:val="single" w:color="auto" w:sz="4" w:space="0"/>
              <w:bottom w:val="single" w:color="000000" w:sz="4" w:space="0"/>
              <w:right w:val="single" w:color="auto" w:sz="4" w:space="0"/>
            </w:tcBorders>
            <w:vAlign w:val="center"/>
          </w:tcPr>
          <w:p>
            <w:pPr>
              <w:widowControl w:val="0"/>
              <w:ind w:firstLine="48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54" w:hRule="atLeast"/>
        </w:trPr>
        <w:tc>
          <w:tcPr>
            <w:tcW w:w="735" w:type="dxa"/>
            <w:tcBorders>
              <w:top w:val="nil"/>
              <w:left w:val="single" w:color="auto" w:sz="4" w:space="0"/>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楼  道</w:t>
            </w:r>
          </w:p>
        </w:tc>
        <w:tc>
          <w:tcPr>
            <w:tcW w:w="56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08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2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46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3"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5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65"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41"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4" w:hRule="atLeast"/>
        </w:trPr>
        <w:tc>
          <w:tcPr>
            <w:tcW w:w="735" w:type="dxa"/>
            <w:tcBorders>
              <w:top w:val="nil"/>
              <w:left w:val="single" w:color="auto" w:sz="4" w:space="0"/>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会议室</w:t>
            </w:r>
          </w:p>
        </w:tc>
        <w:tc>
          <w:tcPr>
            <w:tcW w:w="56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08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2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46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3"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5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65"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41"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4" w:hRule="atLeast"/>
        </w:trPr>
        <w:tc>
          <w:tcPr>
            <w:tcW w:w="735" w:type="dxa"/>
            <w:tcBorders>
              <w:top w:val="nil"/>
              <w:left w:val="single" w:color="auto" w:sz="4" w:space="0"/>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办公室</w:t>
            </w:r>
          </w:p>
        </w:tc>
        <w:tc>
          <w:tcPr>
            <w:tcW w:w="56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08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2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46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3"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5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65"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41"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4" w:hRule="atLeast"/>
        </w:trPr>
        <w:tc>
          <w:tcPr>
            <w:tcW w:w="735" w:type="dxa"/>
            <w:tcBorders>
              <w:top w:val="nil"/>
              <w:left w:val="single" w:color="auto" w:sz="4" w:space="0"/>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食  堂</w:t>
            </w:r>
          </w:p>
        </w:tc>
        <w:tc>
          <w:tcPr>
            <w:tcW w:w="56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08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2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46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3"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5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65"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41"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4" w:hRule="atLeast"/>
        </w:trPr>
        <w:tc>
          <w:tcPr>
            <w:tcW w:w="735" w:type="dxa"/>
            <w:tcBorders>
              <w:top w:val="nil"/>
              <w:left w:val="single" w:color="auto" w:sz="4" w:space="0"/>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宿  舍</w:t>
            </w:r>
          </w:p>
        </w:tc>
        <w:tc>
          <w:tcPr>
            <w:tcW w:w="56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08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2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46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3"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5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65"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41"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4" w:hRule="atLeast"/>
        </w:trPr>
        <w:tc>
          <w:tcPr>
            <w:tcW w:w="735" w:type="dxa"/>
            <w:tcBorders>
              <w:top w:val="nil"/>
              <w:left w:val="single" w:color="auto" w:sz="4" w:space="0"/>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库  房</w:t>
            </w:r>
          </w:p>
        </w:tc>
        <w:tc>
          <w:tcPr>
            <w:tcW w:w="56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08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2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46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3"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5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65"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41"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4" w:hRule="atLeast"/>
        </w:trPr>
        <w:tc>
          <w:tcPr>
            <w:tcW w:w="735" w:type="dxa"/>
            <w:tcBorders>
              <w:top w:val="nil"/>
              <w:left w:val="single" w:color="auto" w:sz="4" w:space="0"/>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卫生间</w:t>
            </w:r>
          </w:p>
        </w:tc>
        <w:tc>
          <w:tcPr>
            <w:tcW w:w="56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08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2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46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3"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5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65"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41"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4" w:hRule="atLeast"/>
        </w:trPr>
        <w:tc>
          <w:tcPr>
            <w:tcW w:w="735" w:type="dxa"/>
            <w:tcBorders>
              <w:top w:val="nil"/>
              <w:left w:val="single" w:color="auto" w:sz="4" w:space="0"/>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val="0"/>
              <w:ind w:firstLine="0" w:firstLineChars="0"/>
              <w:rPr>
                <w:rFonts w:ascii="仿宋_GB2312" w:hAnsi="宋体" w:eastAsia="仿宋_GB2312" w:cs="宋体"/>
                <w:kern w:val="0"/>
                <w:szCs w:val="21"/>
              </w:rPr>
            </w:pPr>
            <w:r>
              <w:rPr>
                <w:rFonts w:hint="eastAsia" w:ascii="仿宋_GB2312" w:hAnsi="宋体" w:eastAsia="仿宋_GB2312" w:cs="宋体"/>
                <w:kern w:val="0"/>
                <w:szCs w:val="21"/>
              </w:rPr>
              <w:t>其  他</w:t>
            </w:r>
          </w:p>
        </w:tc>
        <w:tc>
          <w:tcPr>
            <w:tcW w:w="56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08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5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208"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p>
        </w:tc>
        <w:tc>
          <w:tcPr>
            <w:tcW w:w="146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24"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23"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59"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65"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41" w:type="dxa"/>
            <w:tcBorders>
              <w:top w:val="nil"/>
              <w:left w:val="nil"/>
              <w:bottom w:val="single" w:color="auto" w:sz="4" w:space="0"/>
              <w:right w:val="single" w:color="auto" w:sz="4" w:space="0"/>
            </w:tcBorders>
            <w:shd w:val="clear" w:color="auto" w:fill="auto"/>
            <w:vAlign w:val="center"/>
          </w:tcPr>
          <w:p>
            <w:pPr>
              <w:widowControl w:val="0"/>
              <w:ind w:firstLine="480"/>
              <w:jc w:val="center"/>
              <w:rPr>
                <w:rFonts w:ascii="仿宋_GB2312" w:hAnsi="宋体" w:eastAsia="仿宋_GB2312" w:cs="宋体"/>
                <w:kern w:val="0"/>
                <w:szCs w:val="21"/>
              </w:rPr>
            </w:pPr>
            <w:r>
              <w:rPr>
                <w:rFonts w:hint="eastAsia" w:ascii="仿宋_GB2312" w:hAnsi="宋体" w:eastAsia="仿宋_GB2312" w:cs="宋体"/>
                <w:kern w:val="0"/>
                <w:szCs w:val="21"/>
              </w:rPr>
              <w:t>　</w:t>
            </w:r>
          </w:p>
        </w:tc>
      </w:tr>
    </w:tbl>
    <w:p>
      <w:pPr>
        <w:widowControl w:val="0"/>
        <w:ind w:firstLine="240" w:firstLineChars="100"/>
      </w:pPr>
      <w:r>
        <w:rPr>
          <w:rFonts w:hint="eastAsia"/>
        </w:rPr>
        <w:t>巡查人：                                                   消防责任负责人：</w:t>
      </w:r>
    </w:p>
    <w:p>
      <w:pPr>
        <w:widowControl w:val="0"/>
        <w:ind w:firstLine="480"/>
        <w:rPr>
          <w:rFonts w:ascii="仿宋_GB2312" w:eastAsia="仿宋_GB2312"/>
        </w:rPr>
      </w:pPr>
      <w:r>
        <w:rPr>
          <w:rFonts w:hint="eastAsia" w:ascii="仿宋_GB2312" w:eastAsia="仿宋_GB2312"/>
        </w:rPr>
        <w:t>填写说明：1.检查情况良好的划“√”；存在问题的，在相应表格内如实详细填写；无检查内容的划“—”。</w:t>
      </w:r>
    </w:p>
    <w:p>
      <w:pPr>
        <w:widowControl w:val="0"/>
        <w:spacing w:line="420" w:lineRule="exact"/>
        <w:ind w:firstLine="1200" w:firstLineChars="500"/>
        <w:rPr>
          <w:rFonts w:ascii="仿宋_GB2312" w:eastAsia="仿宋_GB2312"/>
        </w:rPr>
      </w:pPr>
      <w:r>
        <w:rPr>
          <w:rFonts w:hint="eastAsia" w:ascii="仿宋_GB2312" w:eastAsia="仿宋_GB2312"/>
        </w:rPr>
        <w:t>2.可根据实际分工增加或修改巡查地点和巡查内容，保证巡查全面、到位。</w:t>
      </w:r>
    </w:p>
    <w:p>
      <w:pPr>
        <w:widowControl w:val="0"/>
        <w:spacing w:line="420" w:lineRule="exact"/>
        <w:ind w:firstLine="1200" w:firstLineChars="500"/>
        <w:rPr>
          <w:rFonts w:ascii="仿宋_GB2312" w:eastAsia="仿宋_GB2312"/>
        </w:rPr>
      </w:pPr>
    </w:p>
    <w:p>
      <w:pPr>
        <w:widowControl w:val="0"/>
        <w:spacing w:line="420" w:lineRule="exact"/>
        <w:ind w:firstLine="1200" w:firstLineChars="500"/>
        <w:rPr>
          <w:rFonts w:ascii="仿宋_GB2312" w:eastAsia="仿宋_GB2312"/>
        </w:rPr>
      </w:pPr>
    </w:p>
    <w:p>
      <w:pPr>
        <w:pStyle w:val="27"/>
        <w:widowControl w:val="0"/>
        <w:ind w:left="0"/>
        <w:rPr>
          <w:sz w:val="36"/>
        </w:rPr>
        <w:sectPr>
          <w:headerReference r:id="rId12" w:type="first"/>
          <w:footerReference r:id="rId15" w:type="first"/>
          <w:headerReference r:id="rId10" w:type="default"/>
          <w:footerReference r:id="rId13" w:type="default"/>
          <w:headerReference r:id="rId11" w:type="even"/>
          <w:footerReference r:id="rId14" w:type="even"/>
          <w:pgSz w:w="16838" w:h="11906" w:orient="landscape"/>
          <w:pgMar w:top="1134" w:right="873" w:bottom="1134" w:left="873" w:header="851" w:footer="992" w:gutter="0"/>
          <w:cols w:space="0" w:num="1"/>
          <w:docGrid w:type="linesAndChars" w:linePitch="312" w:charSpace="0"/>
        </w:sectPr>
      </w:pPr>
    </w:p>
    <w:p>
      <w:pPr>
        <w:pStyle w:val="2"/>
      </w:pPr>
      <w:bookmarkStart w:id="121" w:name="_Toc12097"/>
      <w:bookmarkStart w:id="122" w:name="_Toc17065"/>
      <w:r>
        <w:rPr>
          <w:rFonts w:hint="eastAsia"/>
        </w:rPr>
        <w:t>九、易燃易爆物品安全管理制度</w:t>
      </w:r>
      <w:bookmarkEnd w:id="95"/>
      <w:bookmarkEnd w:id="121"/>
      <w:bookmarkEnd w:id="122"/>
    </w:p>
    <w:p>
      <w:pPr>
        <w:widowControl w:val="0"/>
        <w:ind w:firstLine="482"/>
      </w:pPr>
      <w:r>
        <w:rPr>
          <w:rFonts w:hint="eastAsia"/>
          <w:b/>
          <w:bCs/>
        </w:rPr>
        <w:t xml:space="preserve">第一条 </w:t>
      </w:r>
      <w:r>
        <w:rPr>
          <w:rFonts w:hint="eastAsia"/>
        </w:rPr>
        <w:t>为了加强</w:t>
      </w:r>
      <w:r>
        <w:rPr>
          <w:rFonts w:hint="eastAsia" w:ascii="宋体" w:hAnsi="宋体" w:eastAsia="宋体"/>
          <w:bCs/>
        </w:rPr>
        <w:t>苏州中车建设工程有限公司台州市域铁路</w:t>
      </w:r>
      <w:r>
        <w:rPr>
          <w:rFonts w:eastAsia="宋体"/>
          <w:bCs/>
        </w:rPr>
        <w:t>S1</w:t>
      </w:r>
      <w:r>
        <w:rPr>
          <w:rFonts w:hint="eastAsia" w:ascii="宋体" w:hAnsi="宋体" w:eastAsia="宋体"/>
          <w:bCs/>
        </w:rPr>
        <w:t>线一期</w:t>
      </w:r>
      <w:r>
        <w:rPr>
          <w:rFonts w:hint="eastAsia" w:eastAsia="宋体"/>
          <w:bCs/>
        </w:rPr>
        <w:t>PPP</w:t>
      </w:r>
      <w:r>
        <w:rPr>
          <w:rFonts w:hint="eastAsia" w:ascii="宋体" w:hAnsi="宋体" w:eastAsia="宋体"/>
          <w:bCs/>
        </w:rPr>
        <w:t>项目工程总承包项目部（以下简称“总承包项目部”）</w:t>
      </w:r>
      <w:r>
        <w:rPr>
          <w:rFonts w:hint="eastAsia"/>
        </w:rPr>
        <w:t>对生产、生活中易燃、易爆物品的有效控制，预防爆炸事故的发生，保证人民生命和财产安全，根据国家法律、法规及上级有关制度，结合总承包项目部实际情况，特制定本制度。</w:t>
      </w:r>
    </w:p>
    <w:p>
      <w:pPr>
        <w:widowControl w:val="0"/>
        <w:ind w:firstLine="482"/>
      </w:pPr>
      <w:r>
        <w:rPr>
          <w:rFonts w:hint="eastAsia"/>
          <w:b/>
          <w:bCs/>
        </w:rPr>
        <w:t>第二条</w:t>
      </w:r>
      <w:r>
        <w:rPr>
          <w:rFonts w:hint="eastAsia"/>
        </w:rPr>
        <w:t xml:space="preserve"> 工程部负责组织、编制、实施易燃、易爆物品使用方案；安质环保部负责对易燃、易爆物品防火控制的监督检查。</w:t>
      </w:r>
    </w:p>
    <w:p>
      <w:pPr>
        <w:widowControl w:val="0"/>
        <w:ind w:firstLine="482"/>
      </w:pPr>
      <w:r>
        <w:rPr>
          <w:rFonts w:hint="eastAsia"/>
          <w:b/>
          <w:bCs/>
        </w:rPr>
        <w:t xml:space="preserve">第三条 </w:t>
      </w:r>
      <w:r>
        <w:rPr>
          <w:rFonts w:hint="eastAsia"/>
        </w:rPr>
        <w:t>安质环保部做好全员的易燃、易爆物品安全管理知识的学习、宣传教育工作。</w:t>
      </w:r>
    </w:p>
    <w:p>
      <w:pPr>
        <w:widowControl w:val="0"/>
        <w:ind w:firstLine="482"/>
      </w:pPr>
      <w:r>
        <w:rPr>
          <w:rFonts w:hint="eastAsia"/>
          <w:b/>
          <w:bCs/>
        </w:rPr>
        <w:t xml:space="preserve">第四条 </w:t>
      </w:r>
      <w:r>
        <w:rPr>
          <w:rFonts w:hint="eastAsia"/>
        </w:rPr>
        <w:t>易燃、易爆品必须储存在专用仓库、专用场地，并设有专人管理；库管员要做好对物品的名称、数量及入库日期进行登记，并及时清点；仓库内应当配备消防力量和灭火设施，严禁在仓库内吸烟和使用明火。</w:t>
      </w:r>
    </w:p>
    <w:p>
      <w:pPr>
        <w:widowControl w:val="0"/>
        <w:ind w:firstLine="482"/>
      </w:pPr>
      <w:r>
        <w:rPr>
          <w:rFonts w:hint="eastAsia"/>
          <w:b/>
          <w:bCs/>
        </w:rPr>
        <w:t xml:space="preserve">第五条 </w:t>
      </w:r>
      <w:r>
        <w:rPr>
          <w:rFonts w:hint="eastAsia"/>
        </w:rPr>
        <w:t>各种安全防护装置、照明、信号、监测仪表、警戒标记、防雷、报警装置等设备要定期检查，不得随意拆除和非法占用。</w:t>
      </w:r>
    </w:p>
    <w:p>
      <w:pPr>
        <w:widowControl w:val="0"/>
        <w:ind w:firstLine="482"/>
      </w:pPr>
      <w:r>
        <w:rPr>
          <w:rFonts w:hint="eastAsia"/>
          <w:b/>
          <w:bCs/>
        </w:rPr>
        <w:t xml:space="preserve">第六条 </w:t>
      </w:r>
      <w:r>
        <w:rPr>
          <w:rFonts w:hint="eastAsia"/>
        </w:rPr>
        <w:t>安质环保部和物资设备部要经常对易燃、易爆物品管理制度及防火防爆预防措施的执行情况进行监督检查；对检查出的问题及隐患应立即整改、落实。</w:t>
      </w:r>
    </w:p>
    <w:p>
      <w:pPr>
        <w:widowControl w:val="0"/>
        <w:ind w:firstLine="482"/>
      </w:pPr>
      <w:r>
        <w:rPr>
          <w:rFonts w:hint="eastAsia"/>
          <w:b/>
          <w:bCs/>
        </w:rPr>
        <w:t xml:space="preserve">第七条 </w:t>
      </w:r>
      <w:r>
        <w:rPr>
          <w:rFonts w:hint="eastAsia"/>
        </w:rPr>
        <w:t>易燃、易爆物品在运输、贮存及使用过程中发生危险或重大影响时，应紧急启动应急救援预案。</w:t>
      </w:r>
    </w:p>
    <w:p>
      <w:pPr>
        <w:widowControl w:val="0"/>
        <w:ind w:firstLine="482"/>
        <w:rPr>
          <w:kern w:val="0"/>
        </w:rPr>
      </w:pPr>
      <w:r>
        <w:rPr>
          <w:rFonts w:hint="eastAsia"/>
          <w:b/>
          <w:bCs/>
        </w:rPr>
        <w:t xml:space="preserve">第八条 </w:t>
      </w:r>
      <w:r>
        <w:rPr>
          <w:kern w:val="0"/>
        </w:rPr>
        <w:t>装卸运输要求</w:t>
      </w:r>
    </w:p>
    <w:p>
      <w:pPr>
        <w:widowControl w:val="0"/>
        <w:ind w:firstLine="480"/>
        <w:rPr>
          <w:kern w:val="0"/>
        </w:rPr>
      </w:pPr>
      <w:r>
        <w:rPr>
          <w:rFonts w:hint="eastAsia"/>
          <w:kern w:val="0"/>
        </w:rPr>
        <w:t>（一）</w:t>
      </w:r>
      <w:r>
        <w:rPr>
          <w:kern w:val="0"/>
        </w:rPr>
        <w:t>装运易燃易爆物品时，应事先进行严密检查，发现容器和包装物损坏、不牢固或渗漏时，必须进行重装或采取其它安全措施后，方可装运</w:t>
      </w:r>
      <w:r>
        <w:rPr>
          <w:rFonts w:hint="eastAsia"/>
          <w:kern w:val="0"/>
        </w:rPr>
        <w:t>；</w:t>
      </w:r>
    </w:p>
    <w:p>
      <w:pPr>
        <w:widowControl w:val="0"/>
        <w:ind w:firstLine="480"/>
        <w:rPr>
          <w:kern w:val="0"/>
        </w:rPr>
      </w:pPr>
      <w:r>
        <w:rPr>
          <w:rFonts w:hint="eastAsia"/>
          <w:kern w:val="0"/>
        </w:rPr>
        <w:t>（二）</w:t>
      </w:r>
      <w:r>
        <w:rPr>
          <w:kern w:val="0"/>
        </w:rPr>
        <w:t>易燃易爆物品不得和其它可燃物品混合装运。</w:t>
      </w:r>
    </w:p>
    <w:p>
      <w:pPr>
        <w:widowControl w:val="0"/>
        <w:ind w:firstLine="480"/>
        <w:rPr>
          <w:kern w:val="0"/>
        </w:rPr>
      </w:pPr>
      <w:r>
        <w:rPr>
          <w:rFonts w:hint="eastAsia"/>
          <w:kern w:val="0"/>
        </w:rPr>
        <w:t>（三）</w:t>
      </w:r>
      <w:r>
        <w:rPr>
          <w:kern w:val="0"/>
        </w:rPr>
        <w:t>互相接触容易引起燃烧，爆炸的物品不得混合装运。</w:t>
      </w:r>
    </w:p>
    <w:p>
      <w:pPr>
        <w:widowControl w:val="0"/>
        <w:ind w:firstLine="480"/>
        <w:rPr>
          <w:kern w:val="0"/>
        </w:rPr>
      </w:pPr>
      <w:r>
        <w:rPr>
          <w:rFonts w:hint="eastAsia"/>
          <w:kern w:val="0"/>
        </w:rPr>
        <w:t>（四）</w:t>
      </w:r>
      <w:r>
        <w:rPr>
          <w:kern w:val="0"/>
        </w:rPr>
        <w:t>受阳光照射后容易发生燃烧、爆炸的物品，装运时应采取防止阳光照射的措施。</w:t>
      </w:r>
    </w:p>
    <w:p>
      <w:pPr>
        <w:widowControl w:val="0"/>
        <w:ind w:firstLine="480"/>
        <w:rPr>
          <w:kern w:val="0"/>
        </w:rPr>
      </w:pPr>
      <w:r>
        <w:rPr>
          <w:rFonts w:hint="eastAsia"/>
          <w:kern w:val="0"/>
        </w:rPr>
        <w:t>（五）</w:t>
      </w:r>
      <w:r>
        <w:rPr>
          <w:kern w:val="0"/>
        </w:rPr>
        <w:t>遇水燃烧的物品，装运时应采取防水的措施。</w:t>
      </w:r>
    </w:p>
    <w:p>
      <w:pPr>
        <w:widowControl w:val="0"/>
        <w:ind w:firstLine="480"/>
        <w:rPr>
          <w:kern w:val="0"/>
        </w:rPr>
      </w:pPr>
      <w:r>
        <w:rPr>
          <w:rFonts w:hint="eastAsia"/>
          <w:kern w:val="0"/>
        </w:rPr>
        <w:t>（六）</w:t>
      </w:r>
      <w:r>
        <w:rPr>
          <w:kern w:val="0"/>
        </w:rPr>
        <w:t>装运过易燃易爆物品的运载工具，应彻底清除遗留物。</w:t>
      </w:r>
    </w:p>
    <w:p>
      <w:pPr>
        <w:widowControl w:val="0"/>
        <w:ind w:firstLine="480"/>
        <w:rPr>
          <w:kern w:val="0"/>
        </w:rPr>
      </w:pPr>
      <w:r>
        <w:rPr>
          <w:rFonts w:hint="eastAsia"/>
          <w:kern w:val="0"/>
        </w:rPr>
        <w:t>（七）</w:t>
      </w:r>
      <w:r>
        <w:rPr>
          <w:kern w:val="0"/>
        </w:rPr>
        <w:t>进入易燃易爆物品库区的汽车，应按库区要求安装汽车排气管火星熄火器。</w:t>
      </w:r>
    </w:p>
    <w:p>
      <w:pPr>
        <w:widowControl w:val="0"/>
        <w:ind w:firstLine="480"/>
        <w:rPr>
          <w:kern w:val="0"/>
        </w:rPr>
      </w:pPr>
      <w:r>
        <w:rPr>
          <w:rFonts w:hint="eastAsia"/>
          <w:kern w:val="0"/>
        </w:rPr>
        <w:t>（八）</w:t>
      </w:r>
      <w:r>
        <w:rPr>
          <w:kern w:val="0"/>
        </w:rPr>
        <w:t>载运易燃易爆物品的车辆，不得同时载客。</w:t>
      </w:r>
    </w:p>
    <w:p>
      <w:pPr>
        <w:widowControl w:val="0"/>
        <w:ind w:firstLine="480"/>
        <w:rPr>
          <w:kern w:val="0"/>
        </w:rPr>
      </w:pPr>
      <w:r>
        <w:rPr>
          <w:rFonts w:hint="eastAsia"/>
          <w:kern w:val="0"/>
        </w:rPr>
        <w:t>（九）</w:t>
      </w:r>
      <w:r>
        <w:rPr>
          <w:kern w:val="0"/>
        </w:rPr>
        <w:t>装卸易燃易爆物品时，应轻搬、轻放、防止撞击、摩擦、翻滚、拖拉、重压、倾倒。</w:t>
      </w:r>
    </w:p>
    <w:p>
      <w:pPr>
        <w:widowControl w:val="0"/>
        <w:ind w:firstLine="480"/>
        <w:rPr>
          <w:kern w:val="0"/>
        </w:rPr>
      </w:pPr>
      <w:r>
        <w:rPr>
          <w:rFonts w:hint="eastAsia"/>
          <w:kern w:val="0"/>
        </w:rPr>
        <w:t>（十）</w:t>
      </w:r>
      <w:r>
        <w:rPr>
          <w:kern w:val="0"/>
        </w:rPr>
        <w:t>严禁随身携带易燃易爆物品搭乘公共交通工具或将易燃易爆物品放在行李、包裹中托运。</w:t>
      </w:r>
    </w:p>
    <w:p>
      <w:pPr>
        <w:widowControl w:val="0"/>
        <w:ind w:firstLine="482"/>
        <w:rPr>
          <w:kern w:val="0"/>
        </w:rPr>
      </w:pPr>
      <w:r>
        <w:rPr>
          <w:rFonts w:hint="eastAsia"/>
          <w:b/>
          <w:bCs/>
        </w:rPr>
        <w:t xml:space="preserve">第九条 </w:t>
      </w:r>
      <w:r>
        <w:rPr>
          <w:kern w:val="0"/>
        </w:rPr>
        <w:t>贮存要求</w:t>
      </w:r>
    </w:p>
    <w:p>
      <w:pPr>
        <w:widowControl w:val="0"/>
        <w:ind w:firstLine="480"/>
        <w:rPr>
          <w:kern w:val="0"/>
        </w:rPr>
      </w:pPr>
      <w:r>
        <w:rPr>
          <w:rFonts w:hint="eastAsia"/>
          <w:kern w:val="0"/>
        </w:rPr>
        <w:t>（一）</w:t>
      </w:r>
      <w:r>
        <w:rPr>
          <w:kern w:val="0"/>
        </w:rPr>
        <w:t>易燃易爆物品应该分类贮存在专门地点，不得与其它物资混合贮存</w:t>
      </w:r>
      <w:r>
        <w:rPr>
          <w:rFonts w:hint="eastAsia"/>
          <w:kern w:val="0"/>
        </w:rPr>
        <w:t>；</w:t>
      </w:r>
    </w:p>
    <w:p>
      <w:pPr>
        <w:widowControl w:val="0"/>
        <w:ind w:firstLine="480"/>
        <w:rPr>
          <w:kern w:val="0"/>
        </w:rPr>
      </w:pPr>
      <w:r>
        <w:rPr>
          <w:rFonts w:hint="eastAsia"/>
          <w:kern w:val="0"/>
        </w:rPr>
        <w:t>（二）</w:t>
      </w:r>
      <w:r>
        <w:rPr>
          <w:kern w:val="0"/>
        </w:rPr>
        <w:t>贮存易燃易爆物品的库房和场地，应保持阴凉、通风、干燥、电气设施应符合防爆要求，不准架设临时性电路，工作结束或下班，应进行防火检查，切断电源</w:t>
      </w:r>
      <w:r>
        <w:rPr>
          <w:rFonts w:hint="eastAsia"/>
          <w:kern w:val="0"/>
        </w:rPr>
        <w:t>；</w:t>
      </w:r>
    </w:p>
    <w:p>
      <w:pPr>
        <w:widowControl w:val="0"/>
        <w:ind w:firstLine="480"/>
        <w:rPr>
          <w:kern w:val="0"/>
        </w:rPr>
      </w:pPr>
      <w:r>
        <w:rPr>
          <w:rFonts w:hint="eastAsia"/>
          <w:kern w:val="0"/>
        </w:rPr>
        <w:t>（三）</w:t>
      </w:r>
      <w:r>
        <w:rPr>
          <w:kern w:val="0"/>
        </w:rPr>
        <w:t>对互相接触容易引起燃烧、爆炸的物品及灭火方法不同的物品，应隔离存放</w:t>
      </w:r>
      <w:r>
        <w:rPr>
          <w:rFonts w:hint="eastAsia"/>
          <w:kern w:val="0"/>
        </w:rPr>
        <w:t>；</w:t>
      </w:r>
    </w:p>
    <w:p>
      <w:pPr>
        <w:widowControl w:val="0"/>
        <w:ind w:firstLine="480"/>
        <w:rPr>
          <w:kern w:val="0"/>
        </w:rPr>
      </w:pPr>
      <w:r>
        <w:rPr>
          <w:rFonts w:hint="eastAsia"/>
          <w:kern w:val="0"/>
        </w:rPr>
        <w:t>（四）</w:t>
      </w:r>
      <w:r>
        <w:rPr>
          <w:kern w:val="0"/>
        </w:rPr>
        <w:t>遇水容易发生燃烧、爆炸的物品，不得存放在潮湿或容易积水的地点</w:t>
      </w:r>
      <w:r>
        <w:rPr>
          <w:rFonts w:hint="eastAsia"/>
          <w:kern w:val="0"/>
        </w:rPr>
        <w:t>；</w:t>
      </w:r>
    </w:p>
    <w:p>
      <w:pPr>
        <w:widowControl w:val="0"/>
        <w:ind w:firstLine="480"/>
        <w:rPr>
          <w:kern w:val="0"/>
          <w:szCs w:val="28"/>
        </w:rPr>
      </w:pPr>
      <w:r>
        <w:rPr>
          <w:rFonts w:hint="eastAsia"/>
          <w:kern w:val="0"/>
          <w:szCs w:val="28"/>
        </w:rPr>
        <w:t>（五）</w:t>
      </w:r>
      <w:r>
        <w:rPr>
          <w:kern w:val="0"/>
          <w:szCs w:val="28"/>
        </w:rPr>
        <w:t>受阳光照射容易发生燃烧、爆炸的物品，不得存放在露天或者高温的地方，必要时，应采取降温及隔热措施</w:t>
      </w:r>
      <w:r>
        <w:rPr>
          <w:rFonts w:hint="eastAsia"/>
          <w:kern w:val="0"/>
          <w:szCs w:val="28"/>
        </w:rPr>
        <w:t>；</w:t>
      </w:r>
    </w:p>
    <w:p>
      <w:pPr>
        <w:widowControl w:val="0"/>
        <w:ind w:firstLine="480"/>
        <w:rPr>
          <w:kern w:val="0"/>
          <w:szCs w:val="28"/>
        </w:rPr>
      </w:pPr>
      <w:r>
        <w:rPr>
          <w:rFonts w:hint="eastAsia"/>
          <w:kern w:val="0"/>
          <w:szCs w:val="28"/>
        </w:rPr>
        <w:t>（六）</w:t>
      </w:r>
      <w:r>
        <w:rPr>
          <w:kern w:val="0"/>
          <w:szCs w:val="28"/>
        </w:rPr>
        <w:t>性质不稳定，容易分解变质引起燃烧、爆炸的物品，由保管人定期进行检查，并有检查记录，防止自燃爆炸</w:t>
      </w:r>
      <w:r>
        <w:rPr>
          <w:rFonts w:hint="eastAsia"/>
          <w:kern w:val="0"/>
          <w:szCs w:val="28"/>
        </w:rPr>
        <w:t>；</w:t>
      </w:r>
    </w:p>
    <w:p>
      <w:pPr>
        <w:widowControl w:val="0"/>
        <w:ind w:firstLine="480"/>
        <w:rPr>
          <w:kern w:val="0"/>
          <w:szCs w:val="28"/>
        </w:rPr>
      </w:pPr>
      <w:r>
        <w:rPr>
          <w:rFonts w:hint="eastAsia"/>
          <w:kern w:val="0"/>
          <w:szCs w:val="28"/>
        </w:rPr>
        <w:t>（七）</w:t>
      </w:r>
      <w:r>
        <w:rPr>
          <w:kern w:val="0"/>
          <w:szCs w:val="28"/>
        </w:rPr>
        <w:t>易燃易爆物品的包装、容器应完好无损，如发现破损、渗漏，必须立即进行安全处理</w:t>
      </w:r>
      <w:r>
        <w:rPr>
          <w:rFonts w:hint="eastAsia"/>
          <w:kern w:val="0"/>
          <w:szCs w:val="28"/>
        </w:rPr>
        <w:t>；</w:t>
      </w:r>
    </w:p>
    <w:p>
      <w:pPr>
        <w:widowControl w:val="0"/>
        <w:ind w:firstLine="480"/>
        <w:rPr>
          <w:kern w:val="0"/>
          <w:szCs w:val="28"/>
        </w:rPr>
      </w:pPr>
      <w:r>
        <w:rPr>
          <w:rFonts w:hint="eastAsia"/>
          <w:kern w:val="0"/>
          <w:szCs w:val="28"/>
        </w:rPr>
        <w:t>（八）</w:t>
      </w:r>
      <w:r>
        <w:rPr>
          <w:kern w:val="0"/>
          <w:szCs w:val="28"/>
        </w:rPr>
        <w:t>存放易燃易爆物品的库房、场地，必须有各种安全管理制度，如巡回检查制度、物品保管领用制度、防火规定等，做到各种原始记录完整</w:t>
      </w:r>
      <w:r>
        <w:rPr>
          <w:rFonts w:hint="eastAsia"/>
          <w:kern w:val="0"/>
          <w:szCs w:val="28"/>
        </w:rPr>
        <w:t>；</w:t>
      </w:r>
    </w:p>
    <w:p>
      <w:pPr>
        <w:widowControl w:val="0"/>
        <w:ind w:firstLine="480"/>
        <w:rPr>
          <w:kern w:val="0"/>
        </w:rPr>
      </w:pPr>
      <w:r>
        <w:rPr>
          <w:rFonts w:hint="eastAsia"/>
          <w:kern w:val="0"/>
        </w:rPr>
        <w:t>（九）</w:t>
      </w:r>
      <w:r>
        <w:rPr>
          <w:kern w:val="0"/>
        </w:rPr>
        <w:t>存放易燃易爆物品的地点，应配备品种数量充足的消防器材，并经常处于良好状态</w:t>
      </w:r>
      <w:r>
        <w:rPr>
          <w:rFonts w:hint="eastAsia"/>
          <w:kern w:val="0"/>
        </w:rPr>
        <w:t>；</w:t>
      </w:r>
    </w:p>
    <w:p>
      <w:pPr>
        <w:widowControl w:val="0"/>
        <w:ind w:firstLine="480"/>
        <w:rPr>
          <w:kern w:val="0"/>
          <w:szCs w:val="28"/>
        </w:rPr>
      </w:pPr>
      <w:r>
        <w:rPr>
          <w:rFonts w:hint="eastAsia"/>
          <w:kern w:val="0"/>
          <w:szCs w:val="28"/>
        </w:rPr>
        <w:t>（十）</w:t>
      </w:r>
      <w:r>
        <w:rPr>
          <w:kern w:val="0"/>
          <w:szCs w:val="28"/>
        </w:rPr>
        <w:t>存放易燃易爆物品地点应有明显的安全警示标语和“严禁烟火”的标志</w:t>
      </w:r>
      <w:r>
        <w:rPr>
          <w:rFonts w:hint="eastAsia"/>
          <w:kern w:val="0"/>
          <w:szCs w:val="28"/>
        </w:rPr>
        <w:t>；</w:t>
      </w:r>
    </w:p>
    <w:p>
      <w:pPr>
        <w:widowControl w:val="0"/>
        <w:ind w:firstLine="480"/>
        <w:rPr>
          <w:kern w:val="0"/>
          <w:szCs w:val="28"/>
        </w:rPr>
      </w:pPr>
      <w:r>
        <w:rPr>
          <w:rFonts w:hint="eastAsia"/>
          <w:kern w:val="0"/>
          <w:szCs w:val="28"/>
        </w:rPr>
        <w:t>（十一）</w:t>
      </w:r>
      <w:r>
        <w:rPr>
          <w:kern w:val="0"/>
          <w:szCs w:val="28"/>
        </w:rPr>
        <w:t>不准在存放易燃易爆物品的库房、场地附近进行可能引起火灾的作业，特殊情况，须经经营部同意，并采取安全措施后，方可进行</w:t>
      </w:r>
      <w:r>
        <w:rPr>
          <w:rFonts w:hint="eastAsia"/>
          <w:kern w:val="0"/>
          <w:szCs w:val="28"/>
        </w:rPr>
        <w:t>；</w:t>
      </w:r>
    </w:p>
    <w:p>
      <w:pPr>
        <w:widowControl w:val="0"/>
        <w:ind w:firstLine="480"/>
        <w:rPr>
          <w:kern w:val="0"/>
          <w:szCs w:val="28"/>
        </w:rPr>
      </w:pPr>
      <w:r>
        <w:rPr>
          <w:rFonts w:hint="eastAsia"/>
          <w:kern w:val="0"/>
          <w:szCs w:val="28"/>
        </w:rPr>
        <w:t>（十二）</w:t>
      </w:r>
      <w:r>
        <w:rPr>
          <w:kern w:val="0"/>
          <w:szCs w:val="28"/>
        </w:rPr>
        <w:t>氢气瓶、乙炔气瓶严禁与氧气瓶混合存放，不得靠近热源，与明火作业地点的距离不小于</w:t>
      </w:r>
      <w:r>
        <w:rPr>
          <w:rFonts w:eastAsia="宋体"/>
          <w:bCs/>
        </w:rPr>
        <w:t>10</w:t>
      </w:r>
      <w:r>
        <w:t>米</w:t>
      </w:r>
      <w:r>
        <w:rPr>
          <w:kern w:val="0"/>
          <w:szCs w:val="28"/>
        </w:rPr>
        <w:t>。</w:t>
      </w:r>
    </w:p>
    <w:p>
      <w:pPr>
        <w:widowControl w:val="0"/>
        <w:ind w:firstLine="482"/>
        <w:rPr>
          <w:kern w:val="0"/>
          <w:szCs w:val="28"/>
        </w:rPr>
      </w:pPr>
      <w:r>
        <w:rPr>
          <w:rFonts w:hint="eastAsia"/>
          <w:b/>
          <w:bCs/>
        </w:rPr>
        <w:t xml:space="preserve">第十条 </w:t>
      </w:r>
      <w:r>
        <w:rPr>
          <w:kern w:val="0"/>
          <w:szCs w:val="28"/>
        </w:rPr>
        <w:t>领用要求</w:t>
      </w:r>
    </w:p>
    <w:p>
      <w:pPr>
        <w:widowControl w:val="0"/>
        <w:ind w:firstLine="480"/>
        <w:rPr>
          <w:kern w:val="0"/>
          <w:szCs w:val="28"/>
        </w:rPr>
      </w:pPr>
      <w:r>
        <w:rPr>
          <w:rFonts w:hint="eastAsia"/>
          <w:kern w:val="0"/>
          <w:szCs w:val="28"/>
        </w:rPr>
        <w:t>（一）</w:t>
      </w:r>
      <w:r>
        <w:rPr>
          <w:kern w:val="0"/>
          <w:szCs w:val="28"/>
        </w:rPr>
        <w:t>申请领用易燃易爆物品，必须写明物品的名称、牌号、规格、数量及技术要求，办理领用手续，妥善管理</w:t>
      </w:r>
      <w:r>
        <w:rPr>
          <w:rFonts w:hint="eastAsia"/>
          <w:kern w:val="0"/>
          <w:szCs w:val="28"/>
        </w:rPr>
        <w:t>；</w:t>
      </w:r>
    </w:p>
    <w:p>
      <w:pPr>
        <w:widowControl w:val="0"/>
        <w:ind w:firstLine="480"/>
        <w:rPr>
          <w:rFonts w:eastAsia="宋体"/>
          <w:bCs/>
        </w:rPr>
      </w:pPr>
      <w:r>
        <w:rPr>
          <w:rFonts w:hint="eastAsia"/>
          <w:kern w:val="0"/>
        </w:rPr>
        <w:t>（二）</w:t>
      </w:r>
      <w:r>
        <w:rPr>
          <w:kern w:val="0"/>
        </w:rPr>
        <w:t>各工区单位应严格控制易燃易爆物品的现场存放总量，试验、研究用料每种数量不得超过</w:t>
      </w:r>
      <w:r>
        <w:t>10kg</w:t>
      </w:r>
      <w:r>
        <w:rPr>
          <w:kern w:val="0"/>
        </w:rPr>
        <w:t>；生产用料每种数量不得超</w:t>
      </w:r>
      <w:r>
        <w:rPr>
          <w:rFonts w:eastAsia="宋体"/>
          <w:bCs/>
        </w:rPr>
        <w:t>过200kg，现场存放应符合本制度第</w:t>
      </w:r>
      <w:r>
        <w:rPr>
          <w:rFonts w:hint="eastAsia" w:eastAsia="宋体"/>
          <w:bCs/>
        </w:rPr>
        <w:t>九</w:t>
      </w:r>
      <w:r>
        <w:rPr>
          <w:rFonts w:eastAsia="宋体"/>
          <w:bCs/>
        </w:rPr>
        <w:t>条有关要求</w:t>
      </w:r>
      <w:r>
        <w:rPr>
          <w:rFonts w:hint="eastAsia" w:eastAsia="宋体"/>
          <w:bCs/>
        </w:rPr>
        <w:t>。</w:t>
      </w:r>
    </w:p>
    <w:p>
      <w:pPr>
        <w:widowControl w:val="0"/>
        <w:ind w:firstLine="482"/>
        <w:rPr>
          <w:rFonts w:eastAsia="宋体"/>
          <w:bCs/>
        </w:rPr>
      </w:pPr>
      <w:r>
        <w:rPr>
          <w:rFonts w:hint="eastAsia"/>
          <w:b/>
          <w:bCs/>
        </w:rPr>
        <w:t xml:space="preserve">第十一条 </w:t>
      </w:r>
      <w:r>
        <w:rPr>
          <w:rFonts w:eastAsia="宋体"/>
          <w:bCs/>
        </w:rPr>
        <w:t>火灾扑救</w:t>
      </w:r>
      <w:r>
        <w:rPr>
          <w:rFonts w:hint="eastAsia" w:eastAsia="宋体"/>
          <w:bCs/>
        </w:rPr>
        <w:t>要求</w:t>
      </w:r>
    </w:p>
    <w:p>
      <w:pPr>
        <w:widowControl w:val="0"/>
        <w:ind w:firstLine="480"/>
        <w:rPr>
          <w:kern w:val="0"/>
        </w:rPr>
      </w:pPr>
      <w:r>
        <w:rPr>
          <w:rFonts w:hint="eastAsia"/>
          <w:kern w:val="0"/>
        </w:rPr>
        <w:t>（一）</w:t>
      </w:r>
      <w:r>
        <w:rPr>
          <w:kern w:val="0"/>
        </w:rPr>
        <w:t>易燃易爆物品的装运、保管、领用人员应了解物品的火灾危险性特征，掌握相应的扑救常识，学会使用灭火器材。</w:t>
      </w:r>
    </w:p>
    <w:p>
      <w:pPr>
        <w:widowControl w:val="0"/>
        <w:ind w:firstLine="480"/>
        <w:rPr>
          <w:kern w:val="0"/>
        </w:rPr>
      </w:pPr>
      <w:r>
        <w:rPr>
          <w:rFonts w:hint="eastAsia"/>
          <w:kern w:val="0"/>
        </w:rPr>
        <w:t>（二）</w:t>
      </w:r>
      <w:r>
        <w:rPr>
          <w:kern w:val="0"/>
        </w:rPr>
        <w:t>对于易燃易爆物品引起的火灾，应根据物品的火灾危险特性采取相应的扑救方法和灭火器材进行扑救。</w:t>
      </w:r>
    </w:p>
    <w:p>
      <w:pPr>
        <w:widowControl w:val="0"/>
        <w:ind w:firstLine="480"/>
        <w:rPr>
          <w:kern w:val="0"/>
        </w:rPr>
      </w:pPr>
      <w:r>
        <w:rPr>
          <w:rFonts w:hint="eastAsia"/>
          <w:kern w:val="0"/>
        </w:rPr>
        <w:t>（三）</w:t>
      </w:r>
      <w:r>
        <w:rPr>
          <w:kern w:val="0"/>
        </w:rPr>
        <w:t>金属钾、钠、钙、镁、钛、铝粉及电石等各种忌水的物质不能用水灭火。</w:t>
      </w:r>
    </w:p>
    <w:p>
      <w:pPr>
        <w:widowControl w:val="0"/>
        <w:ind w:firstLine="480"/>
        <w:rPr>
          <w:kern w:val="0"/>
        </w:rPr>
      </w:pPr>
      <w:r>
        <w:rPr>
          <w:rFonts w:hint="eastAsia"/>
          <w:kern w:val="0"/>
        </w:rPr>
        <w:t>（四）</w:t>
      </w:r>
      <w:r>
        <w:rPr>
          <w:kern w:val="0"/>
        </w:rPr>
        <w:t>比水轻、不溶于水的易燃和可燃液体，须采用泡沫灭火，若不够时可用喷雾水和二氧化碳及干粉灭火。</w:t>
      </w:r>
    </w:p>
    <w:p>
      <w:pPr>
        <w:widowControl w:val="0"/>
        <w:ind w:firstLine="480"/>
        <w:rPr>
          <w:kern w:val="0"/>
        </w:rPr>
      </w:pPr>
      <w:r>
        <w:rPr>
          <w:rFonts w:hint="eastAsia"/>
          <w:kern w:val="0"/>
        </w:rPr>
        <w:t>（五）</w:t>
      </w:r>
      <w:r>
        <w:rPr>
          <w:kern w:val="0"/>
        </w:rPr>
        <w:t>比水重、不溶于水的易燃和可燃液体可以用水灭火，亦可用泡沫、二氧化碳及干粉灭火。</w:t>
      </w:r>
    </w:p>
    <w:p>
      <w:pPr>
        <w:widowControl w:val="0"/>
        <w:ind w:firstLine="480"/>
        <w:rPr>
          <w:kern w:val="0"/>
        </w:rPr>
      </w:pPr>
      <w:r>
        <w:rPr>
          <w:rFonts w:hint="eastAsia"/>
          <w:kern w:val="0"/>
        </w:rPr>
        <w:t>（六）</w:t>
      </w:r>
      <w:r>
        <w:rPr>
          <w:kern w:val="0"/>
        </w:rPr>
        <w:t>溶于水的易燃和可燃液体可以用泡沫、二氧化碳及干粉灭火。</w:t>
      </w:r>
    </w:p>
    <w:p>
      <w:pPr>
        <w:widowControl w:val="0"/>
        <w:ind w:firstLine="480"/>
        <w:rPr>
          <w:kern w:val="0"/>
        </w:rPr>
      </w:pPr>
      <w:r>
        <w:rPr>
          <w:rFonts w:hint="eastAsia"/>
          <w:kern w:val="0"/>
        </w:rPr>
        <w:t>（七）</w:t>
      </w:r>
      <w:r>
        <w:rPr>
          <w:kern w:val="0"/>
        </w:rPr>
        <w:t>对粉尘状固体着火，不能用密集水流灭火，应该用二氧化碳、氮气或雾水灭火，铝粉用细砂灭火。</w:t>
      </w:r>
    </w:p>
    <w:p>
      <w:pPr>
        <w:widowControl w:val="0"/>
        <w:ind w:firstLine="480"/>
        <w:rPr>
          <w:kern w:val="0"/>
        </w:rPr>
      </w:pPr>
      <w:r>
        <w:rPr>
          <w:rFonts w:hint="eastAsia"/>
          <w:kern w:val="0"/>
        </w:rPr>
        <w:t>（八）</w:t>
      </w:r>
      <w:r>
        <w:rPr>
          <w:kern w:val="0"/>
        </w:rPr>
        <w:t>对于其它固体物质着火，可以用水，亦可用其它灭火剂灭火。</w:t>
      </w:r>
    </w:p>
    <w:p>
      <w:pPr>
        <w:widowControl w:val="0"/>
        <w:ind w:firstLine="480"/>
        <w:rPr>
          <w:kern w:val="0"/>
        </w:rPr>
      </w:pPr>
      <w:r>
        <w:rPr>
          <w:rFonts w:hint="eastAsia"/>
          <w:kern w:val="0"/>
        </w:rPr>
        <w:t>（九）</w:t>
      </w:r>
      <w:r>
        <w:rPr>
          <w:kern w:val="0"/>
        </w:rPr>
        <w:t>扑救气体火灾时，首先要切断、堵塞气体来源，并用密集水流或二氧化碳、氮气灭火。灭火时人要站在上风处。</w:t>
      </w:r>
    </w:p>
    <w:p>
      <w:pPr>
        <w:widowControl w:val="0"/>
        <w:ind w:firstLine="482"/>
        <w:rPr>
          <w:kern w:val="0"/>
        </w:rPr>
      </w:pPr>
      <w:r>
        <w:rPr>
          <w:rFonts w:hint="eastAsia"/>
          <w:b/>
          <w:bCs/>
        </w:rPr>
        <w:t xml:space="preserve">第十二条 </w:t>
      </w:r>
      <w:r>
        <w:rPr>
          <w:kern w:val="0"/>
        </w:rPr>
        <w:t>废物处理</w:t>
      </w:r>
    </w:p>
    <w:p>
      <w:pPr>
        <w:widowControl w:val="0"/>
        <w:ind w:firstLine="480"/>
        <w:rPr>
          <w:kern w:val="0"/>
        </w:rPr>
      </w:pPr>
      <w:r>
        <w:rPr>
          <w:rFonts w:hint="eastAsia"/>
          <w:kern w:val="0"/>
        </w:rPr>
        <w:t>（一）</w:t>
      </w:r>
      <w:r>
        <w:rPr>
          <w:kern w:val="0"/>
        </w:rPr>
        <w:t>生产过程中产生的易燃易爆产物及报废物品应妥善处理，不得随便倾倒、抛弃。</w:t>
      </w:r>
    </w:p>
    <w:p>
      <w:pPr>
        <w:widowControl w:val="0"/>
        <w:ind w:firstLine="480"/>
        <w:rPr>
          <w:kern w:val="0"/>
          <w:szCs w:val="28"/>
        </w:rPr>
      </w:pPr>
      <w:r>
        <w:rPr>
          <w:rFonts w:hint="eastAsia"/>
          <w:kern w:val="0"/>
          <w:szCs w:val="28"/>
        </w:rPr>
        <w:t>（二）</w:t>
      </w:r>
      <w:r>
        <w:rPr>
          <w:kern w:val="0"/>
          <w:szCs w:val="28"/>
        </w:rPr>
        <w:t>需要</w:t>
      </w:r>
      <w:r>
        <w:rPr>
          <w:rFonts w:hint="eastAsia"/>
          <w:kern w:val="0"/>
          <w:szCs w:val="28"/>
        </w:rPr>
        <w:t>总承包项目部</w:t>
      </w:r>
      <w:r>
        <w:rPr>
          <w:kern w:val="0"/>
          <w:szCs w:val="28"/>
        </w:rPr>
        <w:t>集中处理的易燃易爆废物</w:t>
      </w:r>
      <w:r>
        <w:rPr>
          <w:rFonts w:hint="eastAsia"/>
          <w:kern w:val="0"/>
          <w:szCs w:val="28"/>
        </w:rPr>
        <w:t>，</w:t>
      </w:r>
      <w:r>
        <w:rPr>
          <w:kern w:val="0"/>
          <w:szCs w:val="28"/>
        </w:rPr>
        <w:t>由安质</w:t>
      </w:r>
      <w:r>
        <w:rPr>
          <w:rFonts w:hint="eastAsia"/>
          <w:kern w:val="0"/>
          <w:szCs w:val="28"/>
        </w:rPr>
        <w:t>环保</w:t>
      </w:r>
      <w:r>
        <w:rPr>
          <w:kern w:val="0"/>
          <w:szCs w:val="28"/>
        </w:rPr>
        <w:t>部会同产生废物的工区</w:t>
      </w:r>
      <w:r>
        <w:rPr>
          <w:rFonts w:hint="eastAsia"/>
          <w:kern w:val="0"/>
          <w:szCs w:val="28"/>
        </w:rPr>
        <w:t>项目部</w:t>
      </w:r>
      <w:r>
        <w:rPr>
          <w:kern w:val="0"/>
          <w:szCs w:val="28"/>
        </w:rPr>
        <w:t>区分不同情况进行处理。</w:t>
      </w:r>
    </w:p>
    <w:p>
      <w:pPr>
        <w:pStyle w:val="2"/>
      </w:pPr>
      <w:bookmarkStart w:id="123" w:name="_Toc1557"/>
      <w:bookmarkStart w:id="124" w:name="_Toc517516700"/>
      <w:bookmarkStart w:id="125" w:name="_Toc29672"/>
      <w:r>
        <w:rPr>
          <w:rFonts w:hint="eastAsia"/>
        </w:rPr>
        <w:t>十、临时用电管理制度</w:t>
      </w:r>
      <w:bookmarkEnd w:id="123"/>
      <w:bookmarkEnd w:id="124"/>
      <w:bookmarkEnd w:id="125"/>
    </w:p>
    <w:p>
      <w:pPr>
        <w:widowControl w:val="0"/>
        <w:ind w:firstLine="482"/>
      </w:pPr>
      <w:r>
        <w:rPr>
          <w:rFonts w:hint="eastAsia"/>
          <w:b/>
          <w:bCs/>
        </w:rPr>
        <w:t xml:space="preserve">第一条 </w:t>
      </w:r>
      <w:r>
        <w:rPr>
          <w:rFonts w:hint="eastAsia" w:eastAsia="宋体"/>
          <w:bCs/>
        </w:rPr>
        <w:t>为了规范苏州中车建设工程有限公司台州市域铁路S1线一期PPP项</w:t>
      </w:r>
      <w:r>
        <w:rPr>
          <w:rFonts w:hint="eastAsia" w:ascii="宋体" w:hAnsi="宋体" w:eastAsia="宋体"/>
          <w:bCs/>
        </w:rPr>
        <w:t>目工程总承包项目部（以下简称“总承包项目部”）的施工现场临时用电工作，</w:t>
      </w:r>
      <w:r>
        <w:rPr>
          <w:rFonts w:hint="eastAsia"/>
        </w:rPr>
        <w:t>避免施工现场触电事故发生，根据《施工现场临时用电安全技术规范》</w:t>
      </w:r>
      <w:r>
        <w:rPr>
          <w:rFonts w:hint="eastAsia" w:eastAsia="宋体"/>
          <w:bCs/>
        </w:rPr>
        <w:t>JGJ46-20</w:t>
      </w:r>
      <w:r>
        <w:rPr>
          <w:rFonts w:eastAsia="宋体"/>
          <w:bCs/>
        </w:rPr>
        <w:t>05</w:t>
      </w:r>
      <w:r>
        <w:rPr>
          <w:rFonts w:hint="eastAsia"/>
        </w:rPr>
        <w:t>和总承包项目部的实际情况，制定本制度。</w:t>
      </w:r>
    </w:p>
    <w:p>
      <w:pPr>
        <w:widowControl w:val="0"/>
        <w:ind w:firstLine="482"/>
      </w:pPr>
      <w:r>
        <w:rPr>
          <w:rFonts w:hint="eastAsia"/>
          <w:b/>
          <w:bCs/>
        </w:rPr>
        <w:t>第二条</w:t>
      </w:r>
      <w:r>
        <w:rPr>
          <w:rFonts w:hint="eastAsia"/>
        </w:rPr>
        <w:t xml:space="preserve"> 临时用电设备</w:t>
      </w:r>
      <w:r>
        <w:rPr>
          <w:rFonts w:hint="eastAsia" w:eastAsia="宋体"/>
          <w:bCs/>
        </w:rPr>
        <w:t>在5台及5台以上或设备总容量在50kW及50kW以上者，应编制临时用电施工组织设计。临时用电设备在5台以下和设备总容量在50KW以下者，应制定安全用电技术措施和电</w:t>
      </w:r>
      <w:r>
        <w:rPr>
          <w:rFonts w:hint="eastAsia"/>
        </w:rPr>
        <w:t>气防火措施。</w:t>
      </w:r>
    </w:p>
    <w:p>
      <w:pPr>
        <w:widowControl w:val="0"/>
        <w:ind w:firstLine="482"/>
      </w:pPr>
      <w:r>
        <w:rPr>
          <w:rFonts w:hint="eastAsia"/>
          <w:b/>
          <w:bCs/>
        </w:rPr>
        <w:t>第三条</w:t>
      </w:r>
      <w:r>
        <w:rPr>
          <w:rFonts w:hint="eastAsia"/>
        </w:rPr>
        <w:t xml:space="preserve"> 现场临时用电必须按照施工用电组织设计（方案）实施。变压器位置、线路走向、电闸箱位置、用电设备台数种类、设备测绝缘电阻记录、额定电流等用平面图标明。</w:t>
      </w:r>
    </w:p>
    <w:p>
      <w:pPr>
        <w:widowControl w:val="0"/>
        <w:ind w:firstLine="482"/>
      </w:pPr>
      <w:r>
        <w:rPr>
          <w:rFonts w:hint="eastAsia"/>
          <w:b/>
          <w:bCs/>
        </w:rPr>
        <w:t>第四条</w:t>
      </w:r>
      <w:r>
        <w:rPr>
          <w:rFonts w:hint="eastAsia"/>
        </w:rPr>
        <w:t xml:space="preserve"> 施工现场临时用电必须建立档案。电工作业人员必须佩戴必要的个人防护用品，严格执行电气安全操作规程、电气安装规程、运行管理制度和电气维修检查制度，建立电工交接班、巡查记录、接地电阻测试记录和漏电开关测试记录。</w:t>
      </w:r>
    </w:p>
    <w:p>
      <w:pPr>
        <w:widowControl w:val="0"/>
        <w:ind w:firstLine="482"/>
      </w:pPr>
      <w:r>
        <w:rPr>
          <w:rFonts w:hint="eastAsia"/>
          <w:b/>
          <w:bCs/>
        </w:rPr>
        <w:t>第五条</w:t>
      </w:r>
      <w:r>
        <w:rPr>
          <w:rFonts w:hint="eastAsia"/>
        </w:rPr>
        <w:t xml:space="preserve"> 电工必须持证上岗，严禁无证操作。安装、维修或拆除临时用电工程，必须由专业电工完成。配电柜或配电线路停电维修时，应挂接地线，并应悬挂“禁止合闸，有人工作”停电标志牌。停送电必须由专人负责，严禁带电操作。</w:t>
      </w:r>
    </w:p>
    <w:p>
      <w:pPr>
        <w:widowControl w:val="0"/>
        <w:ind w:firstLine="482"/>
      </w:pPr>
      <w:r>
        <w:rPr>
          <w:rFonts w:hint="eastAsia"/>
          <w:b/>
          <w:bCs/>
        </w:rPr>
        <w:t>第六条</w:t>
      </w:r>
      <w:r>
        <w:rPr>
          <w:rFonts w:hint="eastAsia"/>
        </w:rPr>
        <w:t xml:space="preserve"> 电缆线路应采用埋地或架空敷设，严禁沿地面明设，并应避免机械损伤和介质腐蚀。埋地电缆路径应设方位标志。</w:t>
      </w:r>
    </w:p>
    <w:p>
      <w:pPr>
        <w:widowControl w:val="0"/>
        <w:ind w:firstLine="482"/>
      </w:pPr>
      <w:r>
        <w:rPr>
          <w:rFonts w:hint="eastAsia"/>
          <w:b/>
          <w:bCs/>
        </w:rPr>
        <w:t>第七条</w:t>
      </w:r>
      <w:r>
        <w:rPr>
          <w:rFonts w:hint="eastAsia"/>
        </w:rPr>
        <w:t xml:space="preserve"> 现场的电器设备，输配电线路的维修，抢修必须配有至</w:t>
      </w:r>
      <w:r>
        <w:rPr>
          <w:rFonts w:hint="eastAsia" w:eastAsia="宋体"/>
          <w:bCs/>
        </w:rPr>
        <w:t>少2名电工，做好监护工作，电工必须严格按“装得安全、用得正确、修得及时、拆得</w:t>
      </w:r>
      <w:r>
        <w:rPr>
          <w:rFonts w:hint="eastAsia"/>
        </w:rPr>
        <w:t>彻底”的十六字方针进行日常操作。非专业人员严禁私自接线。</w:t>
      </w:r>
    </w:p>
    <w:p>
      <w:pPr>
        <w:widowControl w:val="0"/>
        <w:ind w:firstLine="482"/>
      </w:pPr>
      <w:r>
        <w:rPr>
          <w:rFonts w:hint="eastAsia"/>
          <w:b/>
          <w:bCs/>
        </w:rPr>
        <w:t>第八条</w:t>
      </w:r>
      <w:r>
        <w:rPr>
          <w:rFonts w:hint="eastAsia"/>
        </w:rPr>
        <w:t xml:space="preserve"> 现场用电必须按“三相五线”制架设，使用制度的五芯电缆，三级控制，两级保护，工作接地电阻值不得大</w:t>
      </w:r>
      <w:r>
        <w:rPr>
          <w:rFonts w:hint="eastAsia" w:eastAsia="宋体"/>
          <w:bCs/>
        </w:rPr>
        <w:t>于4</w:t>
      </w:r>
      <w:r>
        <w:rPr>
          <w:rFonts w:eastAsia="宋体"/>
          <w:bCs/>
        </w:rPr>
        <w:t>Ω</w:t>
      </w:r>
      <w:r>
        <w:rPr>
          <w:rFonts w:hint="eastAsia" w:eastAsia="宋体"/>
          <w:bCs/>
        </w:rPr>
        <w:t>，供电线路两端必须作重复接地，当线路较长时，线路中间进行重复接地，其电阻不得大于10</w:t>
      </w:r>
      <w:r>
        <w:rPr>
          <w:rFonts w:eastAsia="宋体"/>
          <w:bCs/>
        </w:rPr>
        <w:t>Ω</w:t>
      </w:r>
      <w:r>
        <w:rPr>
          <w:rFonts w:hint="eastAsia" w:eastAsia="宋体"/>
          <w:bCs/>
        </w:rPr>
        <w:t>。</w:t>
      </w:r>
    </w:p>
    <w:p>
      <w:pPr>
        <w:widowControl w:val="0"/>
        <w:ind w:firstLine="482"/>
      </w:pPr>
      <w:r>
        <w:rPr>
          <w:rFonts w:hint="eastAsia"/>
          <w:b/>
          <w:bCs/>
        </w:rPr>
        <w:t>第九条</w:t>
      </w:r>
      <w:r>
        <w:rPr>
          <w:rFonts w:hint="eastAsia"/>
        </w:rPr>
        <w:t xml:space="preserve"> 漏电保护器必须与设备相匹配，不得用一个开关控制两台以上用电设备，工作和保护零线分开使用，不得混用。所有电线路严禁拖地，必须按制度架空、入地。所用电缆如有接头必须用防水胶布进行绝缘处理，并在外层用橡胶套管进行防护，严禁出现“鸡爪线。”</w:t>
      </w:r>
    </w:p>
    <w:p>
      <w:pPr>
        <w:widowControl w:val="0"/>
        <w:ind w:firstLine="482"/>
      </w:pPr>
      <w:r>
        <w:rPr>
          <w:rFonts w:hint="eastAsia"/>
          <w:b/>
          <w:bCs/>
        </w:rPr>
        <w:t>第十条</w:t>
      </w:r>
      <w:r>
        <w:rPr>
          <w:rFonts w:hint="eastAsia"/>
        </w:rPr>
        <w:t xml:space="preserve"> 一、二级配电设施要配置消防设备；三级配电箱内只能“一机一闸一漏一保护”。</w:t>
      </w:r>
    </w:p>
    <w:p>
      <w:pPr>
        <w:widowControl w:val="0"/>
        <w:ind w:firstLine="482"/>
      </w:pPr>
      <w:r>
        <w:rPr>
          <w:rFonts w:hint="eastAsia"/>
          <w:b/>
          <w:bCs/>
        </w:rPr>
        <w:t>第十一条</w:t>
      </w:r>
      <w:r>
        <w:rPr>
          <w:rFonts w:hint="eastAsia"/>
        </w:rPr>
        <w:t xml:space="preserve"> 施工现场所配备的变压器必须加门配锁，同时配备灭火器。现场不得用花线接灯，严禁使用简易碘钨灯。</w:t>
      </w:r>
    </w:p>
    <w:p>
      <w:pPr>
        <w:widowControl w:val="0"/>
        <w:ind w:firstLine="482"/>
      </w:pPr>
      <w:r>
        <w:rPr>
          <w:rFonts w:hint="eastAsia"/>
          <w:b/>
          <w:bCs/>
        </w:rPr>
        <w:t>第十二条</w:t>
      </w:r>
      <w:r>
        <w:rPr>
          <w:rFonts w:hint="eastAsia"/>
        </w:rPr>
        <w:t xml:space="preserve"> 配电箱、开关箱周围应有足够2人同时工作的空间和通道，不得堆放任何妨碍操作维修的物品，不得有灌木、杂草；配电箱、开关箱应装设端正牢固。固定式配电箱、开关箱的中心点与地面的垂直距离应为1.4~1.6m。移动式配电箱开关箱应装设在坚固稳定的支架上，其中心点与地面的垂直距离宜为0.8~1.6m； 所有配电箱必须按要要求进行接地。</w:t>
      </w:r>
    </w:p>
    <w:p>
      <w:pPr>
        <w:widowControl w:val="0"/>
        <w:ind w:firstLine="482"/>
      </w:pPr>
      <w:r>
        <w:rPr>
          <w:rFonts w:hint="eastAsia"/>
          <w:b/>
          <w:bCs/>
        </w:rPr>
        <w:t>第十三条</w:t>
      </w:r>
      <w:r>
        <w:rPr>
          <w:rFonts w:hint="eastAsia"/>
        </w:rPr>
        <w:t xml:space="preserve"> 通信线路与低压线路之间的距离不得小于1.5m，低压线路之间的距离不得小于0.6m，低压线路与10kw以上高压线路之间的距离不得小于1.2m，10kw高压线路相互之间的距离不小于0.8~10m，严禁线路超架设.</w:t>
      </w:r>
    </w:p>
    <w:p>
      <w:pPr>
        <w:widowControl w:val="0"/>
        <w:ind w:firstLine="482"/>
      </w:pPr>
      <w:r>
        <w:rPr>
          <w:rFonts w:hint="eastAsia"/>
          <w:b/>
          <w:bCs/>
        </w:rPr>
        <w:t>第十四条</w:t>
      </w:r>
      <w:r>
        <w:rPr>
          <w:rFonts w:hint="eastAsia"/>
        </w:rPr>
        <w:t xml:space="preserve"> 为方便管理，所有变压器和配电箱进行统一编号，明确责任人和联系电话，并做好安全警示标志。</w:t>
      </w:r>
    </w:p>
    <w:p>
      <w:pPr>
        <w:widowControl w:val="0"/>
        <w:ind w:firstLine="482"/>
      </w:pPr>
      <w:r>
        <w:rPr>
          <w:rFonts w:hint="eastAsia"/>
          <w:b/>
          <w:bCs/>
        </w:rPr>
        <w:t>第十五条</w:t>
      </w:r>
      <w:r>
        <w:rPr>
          <w:rFonts w:hint="eastAsia"/>
        </w:rPr>
        <w:t xml:space="preserve"> 总承包项目部要定期进行施工用电专项排查，对存在的问题要及时进行督促工区项目进行完成整改。</w:t>
      </w:r>
    </w:p>
    <w:p>
      <w:pPr>
        <w:widowControl w:val="0"/>
        <w:ind w:firstLine="482"/>
      </w:pPr>
      <w:r>
        <w:rPr>
          <w:rFonts w:hint="eastAsia"/>
          <w:b/>
          <w:bCs/>
        </w:rPr>
        <w:t>第十六条</w:t>
      </w:r>
      <w:r>
        <w:rPr>
          <w:rFonts w:hint="eastAsia"/>
        </w:rPr>
        <w:t xml:space="preserve"> 编制临时用电技术交底和触电事故应急救援预案，必要时需进行实地演练，提高全员的救治和应急能力。</w:t>
      </w:r>
    </w:p>
    <w:p>
      <w:pPr>
        <w:widowControl w:val="0"/>
        <w:spacing w:line="240" w:lineRule="auto"/>
        <w:ind w:firstLine="0" w:firstLineChars="0"/>
        <w:jc w:val="left"/>
        <w:rPr>
          <w:b/>
          <w:sz w:val="32"/>
          <w:szCs w:val="22"/>
        </w:rPr>
      </w:pPr>
      <w:r>
        <w:br w:type="page"/>
      </w:r>
    </w:p>
    <w:p>
      <w:pPr>
        <w:pStyle w:val="2"/>
      </w:pPr>
      <w:bookmarkStart w:id="126" w:name="_Toc32504"/>
      <w:bookmarkStart w:id="127" w:name="_Toc30799"/>
      <w:r>
        <w:rPr>
          <w:rFonts w:hint="eastAsia"/>
        </w:rPr>
        <w:t>十一、劳动防护用品管理制度</w:t>
      </w:r>
      <w:bookmarkEnd w:id="126"/>
      <w:bookmarkEnd w:id="127"/>
    </w:p>
    <w:p>
      <w:pPr>
        <w:widowControl w:val="0"/>
        <w:ind w:firstLine="482"/>
      </w:pPr>
      <w:bookmarkStart w:id="128" w:name="_Hlk525123535"/>
      <w:r>
        <w:rPr>
          <w:rFonts w:hint="eastAsia"/>
          <w:b/>
          <w:bCs/>
        </w:rPr>
        <w:t xml:space="preserve">第一条 </w:t>
      </w:r>
      <w:r>
        <w:rPr>
          <w:rFonts w:hint="eastAsia"/>
        </w:rPr>
        <w:t>为</w:t>
      </w:r>
      <w:r>
        <w:rPr>
          <w:rFonts w:hint="eastAsia" w:ascii="宋体" w:hAnsi="宋体" w:eastAsia="宋体"/>
          <w:bCs/>
        </w:rPr>
        <w:t>加强苏州中车建设工程有限公司台州市域铁路</w:t>
      </w:r>
      <w:r>
        <w:rPr>
          <w:rFonts w:eastAsia="宋体"/>
          <w:bCs/>
        </w:rPr>
        <w:t>S1</w:t>
      </w:r>
      <w:r>
        <w:rPr>
          <w:rFonts w:hint="eastAsia" w:ascii="宋体" w:hAnsi="宋体" w:eastAsia="宋体"/>
          <w:bCs/>
        </w:rPr>
        <w:t>线一</w:t>
      </w:r>
      <w:r>
        <w:rPr>
          <w:rFonts w:hint="eastAsia" w:eastAsia="宋体"/>
          <w:bCs/>
        </w:rPr>
        <w:t>期PPP项目工程总承包项目部（以下简称“总承包项目部”）</w:t>
      </w:r>
      <w:bookmarkEnd w:id="128"/>
      <w:r>
        <w:rPr>
          <w:rFonts w:hint="eastAsia" w:eastAsia="宋体"/>
          <w:bCs/>
        </w:rPr>
        <w:t>劳动防护用品的管理工作，切实做好施工生产中的事故预防或减轻事故伤害，保障施工人员的人身安全</w:t>
      </w:r>
      <w:r>
        <w:rPr>
          <w:rFonts w:hint="eastAsia"/>
        </w:rPr>
        <w:t>与健康，实现安全生产目标，结合总承包项目部的实际情况，制定本制度。</w:t>
      </w:r>
    </w:p>
    <w:p>
      <w:pPr>
        <w:widowControl w:val="0"/>
        <w:ind w:firstLine="482"/>
      </w:pPr>
      <w:r>
        <w:rPr>
          <w:rFonts w:hint="eastAsia"/>
          <w:b/>
          <w:bCs/>
        </w:rPr>
        <w:t>第二条</w:t>
      </w:r>
      <w:r>
        <w:rPr>
          <w:rFonts w:hint="eastAsia"/>
        </w:rPr>
        <w:t xml:space="preserve"> 工程部应制订安全技术措施，提出配置安全防护设施和用品计划，经安质环保部审核后，由物资设备部编制采购计划，报项目经理审批后实施采购。物资设备部负责登记建档入库，安全管理人员负责监督检查。</w:t>
      </w:r>
    </w:p>
    <w:p>
      <w:pPr>
        <w:widowControl w:val="0"/>
        <w:ind w:firstLine="482"/>
      </w:pPr>
      <w:r>
        <w:rPr>
          <w:rFonts w:hint="eastAsia"/>
          <w:b/>
          <w:bCs/>
        </w:rPr>
        <w:t>第三条</w:t>
      </w:r>
      <w:r>
        <w:rPr>
          <w:rFonts w:hint="eastAsia"/>
        </w:rPr>
        <w:t xml:space="preserve"> </w:t>
      </w:r>
      <w:r>
        <w:t>按照《劳动防护用品选用规则》（</w:t>
      </w:r>
      <w:r>
        <w:rPr>
          <w:rFonts w:eastAsia="宋体"/>
          <w:bCs/>
        </w:rPr>
        <w:t>GB11651-2008）</w:t>
      </w:r>
      <w:r>
        <w:t>和国家颁发的劳动防护用品配备标准以及有关规定，为从业人员配备劳动防护用品。</w:t>
      </w:r>
    </w:p>
    <w:p>
      <w:pPr>
        <w:widowControl w:val="0"/>
        <w:ind w:firstLine="482"/>
      </w:pPr>
      <w:r>
        <w:rPr>
          <w:rFonts w:hint="eastAsia"/>
          <w:b/>
          <w:bCs/>
        </w:rPr>
        <w:t>第四条</w:t>
      </w:r>
      <w:r>
        <w:rPr>
          <w:rFonts w:hint="eastAsia"/>
        </w:rPr>
        <w:t xml:space="preserve"> 物资设备部采购时必须查验生产许可证、产品合格证，对特种劳动防护用品，要求到定点经营单位或生产企业购买“三证”（生产许可证、产品合格证、安全鉴定证）齐全的产品。</w:t>
      </w:r>
    </w:p>
    <w:p>
      <w:pPr>
        <w:widowControl w:val="0"/>
        <w:ind w:firstLine="482"/>
      </w:pPr>
      <w:r>
        <w:rPr>
          <w:rFonts w:hint="eastAsia"/>
          <w:b/>
          <w:bCs/>
        </w:rPr>
        <w:t>第五条</w:t>
      </w:r>
      <w:r>
        <w:rPr>
          <w:rFonts w:hint="eastAsia"/>
        </w:rPr>
        <w:t xml:space="preserve"> 安全防护用品及设施进场，相关部门人员要共同检查验收，并按国家有关制度进行检验、试验，合格后方可投入使用。</w:t>
      </w:r>
    </w:p>
    <w:p>
      <w:pPr>
        <w:widowControl w:val="0"/>
        <w:ind w:firstLine="482"/>
      </w:pPr>
      <w:r>
        <w:rPr>
          <w:rFonts w:hint="eastAsia"/>
          <w:b/>
          <w:bCs/>
        </w:rPr>
        <w:t>第六条</w:t>
      </w:r>
      <w:r>
        <w:rPr>
          <w:rFonts w:hint="eastAsia"/>
        </w:rPr>
        <w:t xml:space="preserve"> 工区项目部分管负责人，负责工地安全防护设施及用品使用前的查验，安全员负责监督检查，不合格的禁止使用。</w:t>
      </w:r>
    </w:p>
    <w:p>
      <w:pPr>
        <w:widowControl w:val="0"/>
        <w:ind w:firstLine="482"/>
      </w:pPr>
      <w:r>
        <w:rPr>
          <w:rFonts w:hint="eastAsia"/>
          <w:b/>
          <w:bCs/>
        </w:rPr>
        <w:t>第七条</w:t>
      </w:r>
      <w:r>
        <w:rPr>
          <w:rFonts w:hint="eastAsia"/>
        </w:rPr>
        <w:t xml:space="preserve"> 安全防护设施及用品的检查验收要有记录，安质环保部要建立</w:t>
      </w:r>
      <w:r>
        <w:rPr>
          <w:rFonts w:hint="eastAsia"/>
          <w:lang w:eastAsia="zh-CN"/>
        </w:rPr>
        <w:t>台账</w:t>
      </w:r>
      <w:r>
        <w:rPr>
          <w:rFonts w:hint="eastAsia"/>
        </w:rPr>
        <w:t>。</w:t>
      </w:r>
    </w:p>
    <w:p>
      <w:pPr>
        <w:widowControl w:val="0"/>
        <w:ind w:firstLine="482"/>
      </w:pPr>
      <w:r>
        <w:rPr>
          <w:rFonts w:hint="eastAsia"/>
          <w:b/>
          <w:bCs/>
        </w:rPr>
        <w:t>第八条</w:t>
      </w:r>
      <w:r>
        <w:rPr>
          <w:rFonts w:hint="eastAsia"/>
        </w:rPr>
        <w:t xml:space="preserve"> 总承包项目部每月组织一次的安全大检查，要对安全防护设施及用品进行检查，凡经检查安全防护性能失效不合格的，一律不准使用。</w:t>
      </w:r>
    </w:p>
    <w:p>
      <w:pPr>
        <w:widowControl w:val="0"/>
        <w:ind w:firstLine="482"/>
      </w:pPr>
      <w:r>
        <w:rPr>
          <w:rFonts w:hint="eastAsia"/>
          <w:b/>
          <w:bCs/>
        </w:rPr>
        <w:t>第九条</w:t>
      </w:r>
      <w:r>
        <w:rPr>
          <w:rFonts w:hint="eastAsia"/>
        </w:rPr>
        <w:t xml:space="preserve"> 教育员工爱护和正确使用安全防护用品和设施，施工人员未经批准不得擅自拆除安全防护设施。</w:t>
      </w:r>
    </w:p>
    <w:p>
      <w:pPr>
        <w:widowControl w:val="0"/>
        <w:ind w:firstLine="482"/>
      </w:pPr>
      <w:r>
        <w:rPr>
          <w:rFonts w:hint="eastAsia"/>
          <w:b/>
          <w:bCs/>
        </w:rPr>
        <w:t>第十条</w:t>
      </w:r>
      <w:r>
        <w:rPr>
          <w:rFonts w:hint="eastAsia"/>
        </w:rPr>
        <w:t xml:space="preserve"> </w:t>
      </w:r>
      <w:r>
        <w:t>从业人员在作业过程中，必须按照安全生产规章制度和劳动防护用品使用规则，正确佩戴和使用劳动防护用品；未按规定佩戴和使用劳动防护用品的，不得上岗作业。</w:t>
      </w:r>
    </w:p>
    <w:p>
      <w:pPr>
        <w:widowControl w:val="0"/>
        <w:ind w:firstLine="482"/>
      </w:pPr>
      <w:r>
        <w:rPr>
          <w:rFonts w:hint="eastAsia"/>
          <w:b/>
          <w:bCs/>
        </w:rPr>
        <w:t>第十一条</w:t>
      </w:r>
      <w:r>
        <w:rPr>
          <w:rFonts w:hint="eastAsia"/>
        </w:rPr>
        <w:t xml:space="preserve"> </w:t>
      </w:r>
      <w:r>
        <w:t>劳动防护用品的发放规定</w:t>
      </w:r>
    </w:p>
    <w:p>
      <w:pPr>
        <w:widowControl w:val="0"/>
        <w:ind w:firstLine="480"/>
      </w:pPr>
      <w:r>
        <w:rPr>
          <w:rFonts w:hint="eastAsia"/>
        </w:rPr>
        <w:t>（一）工区项目部</w:t>
      </w:r>
      <w:r>
        <w:t>负责对劳动防护用品编制年度采购计划</w:t>
      </w:r>
      <w:r>
        <w:rPr>
          <w:rFonts w:hint="eastAsia"/>
        </w:rPr>
        <w:t>和月度采购计划</w:t>
      </w:r>
      <w:r>
        <w:t>，</w:t>
      </w:r>
      <w:r>
        <w:rPr>
          <w:rFonts w:hint="eastAsia"/>
        </w:rPr>
        <w:t>上报总承包项目部</w:t>
      </w:r>
      <w:r>
        <w:t>。</w:t>
      </w:r>
    </w:p>
    <w:p>
      <w:pPr>
        <w:widowControl w:val="0"/>
        <w:ind w:firstLine="480"/>
      </w:pPr>
      <w:r>
        <w:rPr>
          <w:rFonts w:hint="eastAsia"/>
        </w:rPr>
        <w:t>（二）</w:t>
      </w:r>
      <w:r>
        <w:t>工区</w:t>
      </w:r>
      <w:r>
        <w:rPr>
          <w:rFonts w:hint="eastAsia"/>
        </w:rPr>
        <w:t>项目部</w:t>
      </w:r>
      <w:r>
        <w:t>按照相关文件要求对施工现场管理人员和作业人员配备劳动防护用品。</w:t>
      </w:r>
    </w:p>
    <w:p>
      <w:pPr>
        <w:widowControl w:val="0"/>
        <w:ind w:firstLine="480"/>
      </w:pPr>
      <w:r>
        <w:rPr>
          <w:rFonts w:hint="eastAsia"/>
        </w:rPr>
        <w:t>（三）安质环保部</w:t>
      </w:r>
      <w:r>
        <w:t>负责对劳动防护用品发放进行登记造册。</w:t>
      </w:r>
    </w:p>
    <w:p>
      <w:pPr>
        <w:widowControl w:val="0"/>
        <w:ind w:firstLine="480"/>
      </w:pPr>
      <w:r>
        <w:rPr>
          <w:rFonts w:hint="eastAsia"/>
        </w:rPr>
        <w:t>（四）</w:t>
      </w:r>
      <w:r>
        <w:t>使用劳动防护用品的人员，要爱惜和保护好自己的劳动防护用品；使用人员有权拒绝领用和使用不合格用品。</w:t>
      </w:r>
    </w:p>
    <w:p>
      <w:pPr>
        <w:widowControl w:val="0"/>
        <w:ind w:firstLine="480"/>
      </w:pPr>
      <w:r>
        <w:rPr>
          <w:rFonts w:hint="eastAsia"/>
        </w:rPr>
        <w:t>（五）</w:t>
      </w:r>
      <w:r>
        <w:t>对丢失劳动防护用品的人员，需再次领用时，将按照领用物品原价格的两倍进行重新办理，并给予一定的经济处罚。</w:t>
      </w:r>
    </w:p>
    <w:p>
      <w:pPr>
        <w:widowControl w:val="0"/>
        <w:ind w:firstLine="480"/>
      </w:pPr>
      <w:r>
        <w:rPr>
          <w:rFonts w:hint="eastAsia"/>
        </w:rPr>
        <w:t>（六）</w:t>
      </w:r>
      <w:r>
        <w:t>对于过期或到期的劳动防护用品，可凭原物品进行更换。</w:t>
      </w:r>
    </w:p>
    <w:p>
      <w:pPr>
        <w:widowControl w:val="0"/>
        <w:ind w:firstLine="480"/>
      </w:pPr>
      <w:r>
        <w:rPr>
          <w:rFonts w:hint="eastAsia"/>
        </w:rPr>
        <w:t>（七）</w:t>
      </w:r>
      <w:r>
        <w:t>工程结束后，属于项目免费配备的劳动防护用品，应及时归还。</w:t>
      </w:r>
    </w:p>
    <w:p>
      <w:pPr>
        <w:widowControl w:val="0"/>
        <w:ind w:firstLine="482"/>
      </w:pPr>
      <w:r>
        <w:rPr>
          <w:rFonts w:hint="eastAsia"/>
          <w:b/>
          <w:bCs/>
        </w:rPr>
        <w:t>第十二条</w:t>
      </w:r>
      <w:r>
        <w:rPr>
          <w:rFonts w:hint="eastAsia"/>
        </w:rPr>
        <w:t xml:space="preserve"> </w:t>
      </w:r>
      <w:r>
        <w:t>劳动防护用品的使用规定</w:t>
      </w:r>
    </w:p>
    <w:p>
      <w:pPr>
        <w:widowControl w:val="0"/>
        <w:ind w:firstLine="480"/>
      </w:pPr>
      <w:r>
        <w:t>（一）基本要求</w:t>
      </w:r>
    </w:p>
    <w:p>
      <w:pPr>
        <w:widowControl w:val="0"/>
        <w:ind w:firstLine="480"/>
        <w:rPr>
          <w:rFonts w:eastAsia="宋体"/>
          <w:bCs/>
        </w:rPr>
      </w:pPr>
      <w:r>
        <w:rPr>
          <w:rFonts w:hint="eastAsia" w:eastAsia="宋体"/>
          <w:bCs/>
        </w:rPr>
        <w:t>a、</w:t>
      </w:r>
      <w:r>
        <w:rPr>
          <w:rFonts w:eastAsia="宋体"/>
          <w:bCs/>
        </w:rPr>
        <w:t>工区</w:t>
      </w:r>
      <w:r>
        <w:rPr>
          <w:rFonts w:hint="eastAsia" w:eastAsia="宋体"/>
          <w:bCs/>
        </w:rPr>
        <w:t>项目部</w:t>
      </w:r>
      <w:r>
        <w:rPr>
          <w:rFonts w:eastAsia="宋体"/>
          <w:bCs/>
        </w:rPr>
        <w:t>和施工队根据各自的工作情况，按照劳动防护用品的使用要求，在使用前对其防护功能进行必要的检查。</w:t>
      </w:r>
    </w:p>
    <w:p>
      <w:pPr>
        <w:widowControl w:val="0"/>
        <w:ind w:firstLine="480"/>
      </w:pPr>
      <w:r>
        <w:rPr>
          <w:rFonts w:hint="eastAsia" w:eastAsia="宋体"/>
          <w:bCs/>
        </w:rPr>
        <w:t>b、</w:t>
      </w:r>
      <w:r>
        <w:rPr>
          <w:rFonts w:eastAsia="宋体"/>
          <w:bCs/>
        </w:rPr>
        <w:t>工区</w:t>
      </w:r>
      <w:r>
        <w:rPr>
          <w:rFonts w:hint="eastAsia" w:eastAsia="宋体"/>
          <w:bCs/>
        </w:rPr>
        <w:t>项目部</w:t>
      </w:r>
      <w:r>
        <w:rPr>
          <w:rFonts w:eastAsia="宋体"/>
          <w:bCs/>
        </w:rPr>
        <w:t>和施工队为劳动者提供符合国家标准规定的劳动防护用品；不得以货币或</w:t>
      </w:r>
      <w:r>
        <w:t>其他物品替代应当配备的劳动防护用品。</w:t>
      </w:r>
    </w:p>
    <w:p>
      <w:pPr>
        <w:widowControl w:val="0"/>
        <w:ind w:firstLine="480"/>
      </w:pPr>
      <w:r>
        <w:rPr>
          <w:rFonts w:hint="eastAsia"/>
        </w:rPr>
        <w:t>c、</w:t>
      </w:r>
      <w:r>
        <w:t>劳动防护用品在使用前，应根据劳动防护用品使用规则和防护要求对使用者进行教育，按要求正确使用劳动防护用品。</w:t>
      </w:r>
    </w:p>
    <w:p>
      <w:pPr>
        <w:widowControl w:val="0"/>
        <w:ind w:firstLine="480"/>
      </w:pPr>
      <w:r>
        <w:t>（二）劳动防护用品使用注意事项</w:t>
      </w:r>
    </w:p>
    <w:p>
      <w:pPr>
        <w:widowControl w:val="0"/>
        <w:ind w:firstLine="480"/>
      </w:pPr>
      <w:r>
        <w:rPr>
          <w:rFonts w:hint="eastAsia"/>
        </w:rPr>
        <w:t>a、</w:t>
      </w:r>
      <w:r>
        <w:t>从事多种作业的作业人员，应根据主要作业的工种和劳动环境配备劳动防护用品。</w:t>
      </w:r>
    </w:p>
    <w:p>
      <w:pPr>
        <w:widowControl w:val="0"/>
        <w:ind w:firstLine="480"/>
      </w:pPr>
      <w:r>
        <w:rPr>
          <w:rFonts w:hint="eastAsia"/>
        </w:rPr>
        <w:t>b、</w:t>
      </w:r>
      <w:r>
        <w:t>安全带使用期限</w:t>
      </w:r>
    </w:p>
    <w:p>
      <w:pPr>
        <w:widowControl w:val="0"/>
        <w:ind w:firstLine="480"/>
      </w:pPr>
      <w:r>
        <w:t>使用频繁的安全带、安全绳，要经常做外观检查，发现异常时，应立即进行更换新绳。带子的使用期一般为</w:t>
      </w:r>
      <w:r>
        <w:rPr>
          <w:rFonts w:eastAsia="宋体"/>
          <w:bCs/>
        </w:rPr>
        <w:t>3</w:t>
      </w:r>
      <w:r>
        <w:rPr>
          <w:rFonts w:hint="eastAsia" w:eastAsia="宋体"/>
          <w:bCs/>
        </w:rPr>
        <w:t>~</w:t>
      </w:r>
      <w:r>
        <w:rPr>
          <w:rFonts w:eastAsia="宋体"/>
          <w:bCs/>
        </w:rPr>
        <w:t>5</w:t>
      </w:r>
      <w:r>
        <w:t>年。</w:t>
      </w:r>
    </w:p>
    <w:p>
      <w:pPr>
        <w:widowControl w:val="0"/>
        <w:ind w:firstLine="482"/>
      </w:pPr>
      <w:r>
        <w:rPr>
          <w:rFonts w:hint="eastAsia"/>
          <w:b/>
          <w:bCs/>
        </w:rPr>
        <w:t>第十三条</w:t>
      </w:r>
      <w:r>
        <w:rPr>
          <w:rFonts w:hint="eastAsia"/>
        </w:rPr>
        <w:t xml:space="preserve"> “</w:t>
      </w:r>
      <w:r>
        <w:t>三宝</w:t>
      </w:r>
      <w:r>
        <w:rPr>
          <w:rFonts w:hint="eastAsia"/>
        </w:rPr>
        <w:t>”</w:t>
      </w:r>
      <w:r>
        <w:t>（安全网、安全帽、安全带）安全使用要求</w:t>
      </w:r>
    </w:p>
    <w:p>
      <w:pPr>
        <w:widowControl w:val="0"/>
        <w:ind w:firstLine="480"/>
      </w:pPr>
      <w:r>
        <w:t>（一）安全网安全使用要求</w:t>
      </w:r>
    </w:p>
    <w:p>
      <w:pPr>
        <w:widowControl w:val="0"/>
        <w:ind w:firstLine="480"/>
      </w:pPr>
      <w:r>
        <w:rPr>
          <w:rFonts w:hint="eastAsia"/>
        </w:rPr>
        <w:t>a、</w:t>
      </w:r>
      <w:r>
        <w:t>网的检查内容包括：网内不得存留建筑垃圾，网下不能堆积物品，网身不能出现严重变形和磨损，以及是否会受化学品和酸、碱烟雾的污染及电焊火花的烧灼等。</w:t>
      </w:r>
    </w:p>
    <w:p>
      <w:pPr>
        <w:widowControl w:val="0"/>
        <w:ind w:firstLine="480"/>
      </w:pPr>
      <w:r>
        <w:rPr>
          <w:rFonts w:hint="eastAsia"/>
        </w:rPr>
        <w:t>b、</w:t>
      </w:r>
      <w:r>
        <w:t>支撑架不得出现严重变形和磨损，其连接部位不得有松脱现象。网与网之间及网与支撑架之间的连接点亦不允许出现松脱。所有绑拉的绳都不能使其受严重的磨损或有变形。</w:t>
      </w:r>
    </w:p>
    <w:p>
      <w:pPr>
        <w:widowControl w:val="0"/>
        <w:ind w:firstLine="480"/>
      </w:pPr>
      <w:r>
        <w:rPr>
          <w:rFonts w:hint="eastAsia"/>
        </w:rPr>
        <w:t>c、</w:t>
      </w:r>
      <w:r>
        <w:t>网内的坠落物要经常清理，保持网体洁净。还要避免大量焊接或其他火星落入网内，并避免高温或蒸汽环境。当网体受到化学品的污染或网绳嵌入粗砂粒或其他可能引起磨损的异物时，即须进行清洗，洗后使其自然干燥。</w:t>
      </w:r>
    </w:p>
    <w:p>
      <w:pPr>
        <w:widowControl w:val="0"/>
        <w:ind w:firstLine="480"/>
      </w:pPr>
      <w:r>
        <w:rPr>
          <w:rFonts w:hint="eastAsia"/>
        </w:rPr>
        <w:t>d、</w:t>
      </w:r>
      <w:r>
        <w:t>安全网在搬运中不可使用铁钩或带尖刺的工具，以防损伤网绳。网架要存放在仓库或专有场所，并将其分类、分批存放在架子上，不允许随意乱堆。在存放过程中，要求对网体作定期检查，发现问题，立即处理，以确保安全。</w:t>
      </w:r>
    </w:p>
    <w:p>
      <w:pPr>
        <w:widowControl w:val="0"/>
        <w:ind w:firstLine="480"/>
      </w:pPr>
      <w:r>
        <w:t>（二）安全帽安全使用要求</w:t>
      </w:r>
    </w:p>
    <w:p>
      <w:pPr>
        <w:widowControl w:val="0"/>
        <w:ind w:firstLine="480"/>
        <w:rPr>
          <w:bCs/>
        </w:rPr>
      </w:pPr>
      <w:r>
        <w:rPr>
          <w:rFonts w:hint="eastAsia"/>
          <w:bCs/>
        </w:rPr>
        <w:t>a、</w:t>
      </w:r>
      <w:r>
        <w:rPr>
          <w:bCs/>
        </w:rPr>
        <w:t>安全帽的防护作用：</w:t>
      </w:r>
    </w:p>
    <w:p>
      <w:pPr>
        <w:widowControl w:val="0"/>
        <w:ind w:firstLine="480"/>
      </w:pPr>
      <w:r>
        <w:t>防止物体打击伤害、防止高处坠落伤害头部、防止机械性损伤、防止污染毛发伤害。</w:t>
      </w:r>
    </w:p>
    <w:p>
      <w:pPr>
        <w:widowControl w:val="0"/>
        <w:ind w:firstLine="480"/>
        <w:rPr>
          <w:szCs w:val="28"/>
        </w:rPr>
      </w:pPr>
      <w:r>
        <w:rPr>
          <w:rFonts w:hint="eastAsia"/>
          <w:bCs/>
        </w:rPr>
        <w:t>b、</w:t>
      </w:r>
      <w:r>
        <w:rPr>
          <w:szCs w:val="28"/>
        </w:rPr>
        <w:t>安全帽使用注意事项：</w:t>
      </w:r>
    </w:p>
    <w:p>
      <w:pPr>
        <w:widowControl w:val="0"/>
        <w:numPr>
          <w:ilvl w:val="0"/>
          <w:numId w:val="4"/>
        </w:numPr>
        <w:ind w:firstLine="480"/>
        <w:rPr>
          <w:szCs w:val="28"/>
        </w:rPr>
      </w:pPr>
      <w:r>
        <w:rPr>
          <w:szCs w:val="28"/>
        </w:rPr>
        <w:t>凡进入施工现场的所有人员，都必须配戴安全帽。作业中不得将安全帽脱下，搁置一旁，或当坐垫使用；发现当坐垫使用者，将严加处罚</w:t>
      </w:r>
      <w:r>
        <w:rPr>
          <w:rFonts w:hint="eastAsia"/>
          <w:szCs w:val="28"/>
        </w:rPr>
        <w:t>；</w:t>
      </w:r>
    </w:p>
    <w:p>
      <w:pPr>
        <w:widowControl w:val="0"/>
        <w:numPr>
          <w:ilvl w:val="0"/>
          <w:numId w:val="4"/>
        </w:numPr>
        <w:ind w:firstLine="480"/>
        <w:rPr>
          <w:szCs w:val="28"/>
        </w:rPr>
      </w:pPr>
      <w:r>
        <w:rPr>
          <w:szCs w:val="28"/>
        </w:rPr>
        <w:t>要有下颏带和后帽箍并拴系牢固，以防帽子滑落与碰掉</w:t>
      </w:r>
      <w:r>
        <w:rPr>
          <w:rFonts w:hint="eastAsia"/>
          <w:szCs w:val="28"/>
        </w:rPr>
        <w:t>。</w:t>
      </w:r>
    </w:p>
    <w:p>
      <w:pPr>
        <w:widowControl w:val="0"/>
        <w:numPr>
          <w:ilvl w:val="0"/>
          <w:numId w:val="4"/>
        </w:numPr>
        <w:ind w:firstLine="480"/>
        <w:rPr>
          <w:szCs w:val="28"/>
        </w:rPr>
      </w:pPr>
      <w:r>
        <w:rPr>
          <w:szCs w:val="28"/>
        </w:rPr>
        <w:t>热塑性安全帽可用清水冲洗，不得用热水浸泡，不能放在暖气片上、火炉上烘烤，以防帽体变形；</w:t>
      </w:r>
    </w:p>
    <w:p>
      <w:pPr>
        <w:widowControl w:val="0"/>
        <w:numPr>
          <w:ilvl w:val="0"/>
          <w:numId w:val="4"/>
        </w:numPr>
        <w:ind w:firstLine="480"/>
        <w:rPr>
          <w:szCs w:val="28"/>
        </w:rPr>
      </w:pPr>
      <w:r>
        <w:rPr>
          <w:szCs w:val="28"/>
        </w:rPr>
        <w:t>安全帽使用超过规定限值，或者受过较严重的冲击后，虽然肉眼看不到裂纹，也应予以更换。一般塑料安全帽使用期限为三年；</w:t>
      </w:r>
    </w:p>
    <w:p>
      <w:pPr>
        <w:widowControl w:val="0"/>
        <w:numPr>
          <w:ilvl w:val="0"/>
          <w:numId w:val="4"/>
        </w:numPr>
        <w:ind w:firstLine="480"/>
        <w:rPr>
          <w:szCs w:val="28"/>
        </w:rPr>
      </w:pPr>
      <w:r>
        <w:rPr>
          <w:szCs w:val="28"/>
        </w:rPr>
        <w:t>佩戴安全帽前，应检查各配件有无损坏，装配是否牢固，帽衬调节部分是否卡紧，绳带是否系紧等，确信各部件完好后方可使用。</w:t>
      </w:r>
    </w:p>
    <w:p>
      <w:pPr>
        <w:widowControl w:val="0"/>
        <w:ind w:firstLine="480"/>
        <w:rPr>
          <w:szCs w:val="28"/>
        </w:rPr>
      </w:pPr>
      <w:r>
        <w:rPr>
          <w:szCs w:val="28"/>
        </w:rPr>
        <w:t>（三）安全带使用要求</w:t>
      </w:r>
    </w:p>
    <w:p>
      <w:pPr>
        <w:widowControl w:val="0"/>
        <w:ind w:firstLine="480"/>
        <w:rPr>
          <w:szCs w:val="28"/>
        </w:rPr>
      </w:pPr>
      <w:r>
        <w:rPr>
          <w:rFonts w:hint="eastAsia"/>
          <w:szCs w:val="28"/>
        </w:rPr>
        <w:t>a、</w:t>
      </w:r>
      <w:r>
        <w:rPr>
          <w:szCs w:val="28"/>
        </w:rPr>
        <w:t>使用时要高挂低用，防止摆动碰撞，绳子不能打结，钩子挂在连接环上。当发现有异常时要立即更换，换新绳时要加绳套。使用3</w:t>
      </w:r>
      <w:r>
        <w:rPr>
          <w:rFonts w:hint="eastAsia"/>
          <w:szCs w:val="28"/>
        </w:rPr>
        <w:t>米</w:t>
      </w:r>
      <w:r>
        <w:rPr>
          <w:szCs w:val="28"/>
        </w:rPr>
        <w:t>以上的长绳要加缓冲器。</w:t>
      </w:r>
    </w:p>
    <w:p>
      <w:pPr>
        <w:widowControl w:val="0"/>
        <w:ind w:firstLine="480"/>
        <w:rPr>
          <w:szCs w:val="28"/>
        </w:rPr>
      </w:pPr>
      <w:r>
        <w:rPr>
          <w:rFonts w:hint="eastAsia"/>
          <w:szCs w:val="28"/>
        </w:rPr>
        <w:t>b、</w:t>
      </w:r>
      <w:r>
        <w:rPr>
          <w:szCs w:val="28"/>
        </w:rPr>
        <w:t>在攀登和悬空等作业中，必须佩戴安全带并有牢靠的挂钩设施，严禁只在腰间佩戴安全带，而不在固定的设施上拴挂钩环。</w:t>
      </w:r>
    </w:p>
    <w:p>
      <w:pPr>
        <w:widowControl w:val="0"/>
        <w:ind w:firstLine="480"/>
        <w:rPr>
          <w:szCs w:val="28"/>
        </w:rPr>
      </w:pPr>
      <w:r>
        <w:rPr>
          <w:rFonts w:hint="eastAsia"/>
          <w:szCs w:val="28"/>
        </w:rPr>
        <w:t>c、</w:t>
      </w:r>
      <w:r>
        <w:rPr>
          <w:szCs w:val="28"/>
        </w:rPr>
        <w:t>安全带使用时要妥善保管，不可接触高温、明火、强酸、强碱或尖锐物体。使用频繁的绳要经常做外观检查；使用两年后要做抽检，抽验过的样带要更换新绳。</w:t>
      </w:r>
    </w:p>
    <w:p>
      <w:pPr>
        <w:widowControl w:val="0"/>
        <w:ind w:firstLine="480"/>
      </w:pPr>
    </w:p>
    <w:p>
      <w:pPr>
        <w:widowControl w:val="0"/>
        <w:ind w:firstLine="480"/>
      </w:pPr>
      <w:r>
        <w:br w:type="page"/>
      </w:r>
    </w:p>
    <w:p>
      <w:pPr>
        <w:pStyle w:val="2"/>
      </w:pPr>
      <w:bookmarkStart w:id="129" w:name="_Toc517516703"/>
      <w:bookmarkStart w:id="130" w:name="_Toc17292"/>
      <w:bookmarkStart w:id="131" w:name="_Toc30264"/>
      <w:r>
        <w:rPr>
          <w:rFonts w:hint="eastAsia"/>
        </w:rPr>
        <w:t>十二、危险源识别评价和分级管理制度</w:t>
      </w:r>
      <w:bookmarkEnd w:id="129"/>
      <w:bookmarkEnd w:id="130"/>
      <w:bookmarkEnd w:id="131"/>
    </w:p>
    <w:p>
      <w:pPr>
        <w:pStyle w:val="3"/>
        <w:widowControl w:val="0"/>
      </w:pPr>
      <w:bookmarkStart w:id="132" w:name="_Toc31224"/>
      <w:bookmarkStart w:id="133" w:name="_Toc5263"/>
      <w:bookmarkStart w:id="134" w:name="_Toc517516705"/>
      <w:r>
        <w:rPr>
          <w:rFonts w:hint="eastAsia"/>
        </w:rPr>
        <w:t>第一章 总则</w:t>
      </w:r>
      <w:bookmarkEnd w:id="132"/>
      <w:bookmarkEnd w:id="133"/>
    </w:p>
    <w:p>
      <w:pPr>
        <w:widowControl w:val="0"/>
        <w:ind w:firstLine="482"/>
        <w:rPr>
          <w:rFonts w:ascii="宋体" w:hAnsi="宋体"/>
        </w:rPr>
      </w:pPr>
      <w:r>
        <w:rPr>
          <w:rFonts w:hint="eastAsia" w:ascii="宋体" w:hAnsi="宋体"/>
          <w:b/>
        </w:rPr>
        <w:t>第一条</w:t>
      </w:r>
      <w:r>
        <w:rPr>
          <w:rFonts w:hint="eastAsia" w:ascii="宋体" w:hAnsi="宋体"/>
        </w:rPr>
        <w:t xml:space="preserve"> 为全面加强苏州中车建设工程有限公司台州市域铁路</w:t>
      </w:r>
      <w:r>
        <w:t>S1</w:t>
      </w:r>
      <w:r>
        <w:rPr>
          <w:rFonts w:hint="eastAsia" w:ascii="宋体" w:hAnsi="宋体"/>
        </w:rPr>
        <w:t>线一</w:t>
      </w:r>
      <w:r>
        <w:rPr>
          <w:rFonts w:hint="eastAsia"/>
        </w:rPr>
        <w:t>期PPP项目工程总承包项目部（以下简称“总承包项目部”）项目危险源管理，促进安全生产，依据《中华人民共和国安全生产法》、《职业病防治法》、《职业健康安全管理体系要求》（GB/T28001）、《危险化学品重大危险源辨识》（GB18218）、《关于开展重大危险源监督管理工作的指导意见》（安监管协调字〔2004〕56号）</w:t>
      </w:r>
      <w:r>
        <w:rPr>
          <w:rFonts w:hint="eastAsia" w:ascii="宋体" w:hAnsi="宋体"/>
        </w:rPr>
        <w:t>等有关安全生产的法律、法规、标准，以及根据苏州中车建设工程有限公司《重大（要）危险源管理制度》，结合总承包项目部实际情况，特制定本制度。</w:t>
      </w:r>
    </w:p>
    <w:p>
      <w:pPr>
        <w:widowControl w:val="0"/>
        <w:ind w:firstLine="482"/>
        <w:rPr>
          <w:rFonts w:ascii="宋体" w:hAnsi="宋体"/>
        </w:rPr>
      </w:pPr>
      <w:r>
        <w:rPr>
          <w:rFonts w:hint="eastAsia" w:ascii="宋体" w:hAnsi="宋体"/>
          <w:b/>
        </w:rPr>
        <w:t>第二条</w:t>
      </w:r>
      <w:r>
        <w:rPr>
          <w:rFonts w:hint="eastAsia" w:ascii="宋体" w:hAnsi="宋体"/>
        </w:rPr>
        <w:t xml:space="preserve"> 本制度适用于总承包项目部所属作业场所的危险源管理。</w:t>
      </w:r>
    </w:p>
    <w:p>
      <w:pPr>
        <w:widowControl w:val="0"/>
        <w:ind w:firstLine="482"/>
        <w:rPr>
          <w:rFonts w:ascii="宋体" w:hAnsi="宋体"/>
        </w:rPr>
      </w:pPr>
      <w:r>
        <w:rPr>
          <w:rFonts w:hint="eastAsia" w:ascii="宋体" w:hAnsi="宋体"/>
          <w:b/>
        </w:rPr>
        <w:t xml:space="preserve">第三条 </w:t>
      </w:r>
      <w:r>
        <w:rPr>
          <w:rFonts w:hint="eastAsia" w:ascii="宋体" w:hAnsi="宋体"/>
        </w:rPr>
        <w:t>工区项目部通过对危险源辨识和风险评价，以确定人员、设施和活动过程中的危险源，制定治理计划和落实改进措施，从而实现对危险源的有效控制，特别是对重大危险源实时监控。</w:t>
      </w:r>
    </w:p>
    <w:p>
      <w:pPr>
        <w:widowControl w:val="0"/>
        <w:ind w:firstLine="482"/>
        <w:rPr>
          <w:rFonts w:ascii="宋体" w:hAnsi="宋体"/>
        </w:rPr>
      </w:pPr>
      <w:r>
        <w:rPr>
          <w:rFonts w:hint="eastAsia" w:ascii="宋体" w:hAnsi="宋体"/>
          <w:b/>
        </w:rPr>
        <w:t xml:space="preserve">第四条 </w:t>
      </w:r>
      <w:r>
        <w:rPr>
          <w:rFonts w:hint="eastAsia" w:ascii="宋体" w:hAnsi="宋体"/>
        </w:rPr>
        <w:t>总承包项目部各部门是其部门危险源安全管理的责任主体，部门主要负责人对本部门的危险源安全管理工作负责，保证本部门生产过程中各类危险源处于受控状态及所必需的安全投入。</w:t>
      </w:r>
    </w:p>
    <w:p>
      <w:pPr>
        <w:widowControl w:val="0"/>
        <w:ind w:firstLine="482"/>
        <w:rPr>
          <w:rFonts w:ascii="宋体" w:hAnsi="宋体"/>
        </w:rPr>
      </w:pPr>
      <w:r>
        <w:rPr>
          <w:rFonts w:hint="eastAsia" w:ascii="宋体" w:hAnsi="宋体"/>
          <w:b/>
        </w:rPr>
        <w:t xml:space="preserve">第五条 </w:t>
      </w:r>
      <w:r>
        <w:rPr>
          <w:rFonts w:hint="eastAsia" w:ascii="宋体" w:hAnsi="宋体"/>
        </w:rPr>
        <w:t>工区项目部是本工区危险源安全管理的责任主体，工区分管负责人对本工区的危险源安全管理工作负责，保证本项目生产过程中各类危险源处于受控状态及所必需的安全投入。</w:t>
      </w:r>
    </w:p>
    <w:p>
      <w:pPr>
        <w:widowControl w:val="0"/>
        <w:ind w:firstLine="482"/>
        <w:rPr>
          <w:rFonts w:ascii="宋体" w:hAnsi="宋体"/>
        </w:rPr>
      </w:pPr>
      <w:r>
        <w:rPr>
          <w:rFonts w:hint="eastAsia" w:ascii="宋体" w:hAnsi="宋体"/>
          <w:b/>
        </w:rPr>
        <w:t>第六条</w:t>
      </w:r>
      <w:r>
        <w:rPr>
          <w:rFonts w:hint="eastAsia" w:ascii="宋体" w:hAnsi="宋体"/>
          <w:color w:val="0000FF"/>
        </w:rPr>
        <w:t xml:space="preserve"> </w:t>
      </w:r>
      <w:r>
        <w:rPr>
          <w:rFonts w:hint="eastAsia" w:ascii="宋体" w:hAnsi="宋体"/>
        </w:rPr>
        <w:t>危险源的安全监督管理实行总承包项目部监督管理与工区项目部主要管理相结合的原则。</w:t>
      </w:r>
    </w:p>
    <w:p>
      <w:pPr>
        <w:pStyle w:val="3"/>
        <w:widowControl w:val="0"/>
      </w:pPr>
      <w:bookmarkStart w:id="135" w:name="_Toc444160017"/>
      <w:bookmarkStart w:id="136" w:name="_Toc1286"/>
      <w:bookmarkStart w:id="137" w:name="_Toc5638"/>
      <w:r>
        <w:rPr>
          <w:rFonts w:hint="eastAsia"/>
        </w:rPr>
        <w:t>第二章 工作职责</w:t>
      </w:r>
      <w:bookmarkEnd w:id="135"/>
      <w:bookmarkEnd w:id="136"/>
      <w:bookmarkEnd w:id="137"/>
    </w:p>
    <w:p>
      <w:pPr>
        <w:widowControl w:val="0"/>
        <w:ind w:firstLine="482"/>
        <w:rPr>
          <w:rFonts w:ascii="宋体" w:hAnsi="宋体"/>
        </w:rPr>
      </w:pPr>
      <w:r>
        <w:rPr>
          <w:rFonts w:hint="eastAsia" w:ascii="宋体" w:hAnsi="宋体"/>
          <w:b/>
        </w:rPr>
        <w:t>第七条</w:t>
      </w:r>
      <w:r>
        <w:rPr>
          <w:rFonts w:hint="eastAsia" w:ascii="宋体" w:hAnsi="宋体"/>
        </w:rPr>
        <w:t xml:space="preserve"> 总承包项目部在危险源辨识、风险评价与控制上应履行如下职责：</w:t>
      </w:r>
    </w:p>
    <w:p>
      <w:pPr>
        <w:widowControl w:val="0"/>
        <w:ind w:firstLine="480"/>
        <w:rPr>
          <w:rFonts w:ascii="宋体" w:hAnsi="宋体"/>
        </w:rPr>
      </w:pPr>
      <w:r>
        <w:rPr>
          <w:rFonts w:hint="eastAsia" w:ascii="宋体" w:hAnsi="宋体"/>
        </w:rPr>
        <w:t>（一）建立健全本项目危险源辨识、风险评价与控制的规章制度与标准；</w:t>
      </w:r>
    </w:p>
    <w:p>
      <w:pPr>
        <w:widowControl w:val="0"/>
        <w:ind w:firstLine="480"/>
        <w:rPr>
          <w:rFonts w:ascii="宋体" w:hAnsi="宋体"/>
        </w:rPr>
      </w:pPr>
      <w:r>
        <w:rPr>
          <w:rFonts w:hint="eastAsia" w:ascii="宋体" w:hAnsi="宋体"/>
        </w:rPr>
        <w:t>（二）组织开展危险源辨识、风险评价与控制的相关培训；</w:t>
      </w:r>
    </w:p>
    <w:p>
      <w:pPr>
        <w:widowControl w:val="0"/>
        <w:ind w:firstLine="480"/>
        <w:rPr>
          <w:rFonts w:ascii="宋体" w:hAnsi="宋体"/>
        </w:rPr>
      </w:pPr>
      <w:r>
        <w:rPr>
          <w:rFonts w:hint="eastAsia" w:ascii="宋体" w:hAnsi="宋体"/>
        </w:rPr>
        <w:t>（三）全面开展本项目的危险源辨识、风险评价与控制的相关活动；</w:t>
      </w:r>
    </w:p>
    <w:p>
      <w:pPr>
        <w:widowControl w:val="0"/>
        <w:ind w:firstLine="480"/>
        <w:rPr>
          <w:rFonts w:ascii="宋体" w:hAnsi="宋体"/>
        </w:rPr>
      </w:pPr>
      <w:r>
        <w:rPr>
          <w:rFonts w:hint="eastAsia" w:ascii="宋体" w:hAnsi="宋体"/>
        </w:rPr>
        <w:t>（四）认真落实事故隐患的整改，确保危险源受控；</w:t>
      </w:r>
    </w:p>
    <w:p>
      <w:pPr>
        <w:widowControl w:val="0"/>
        <w:ind w:firstLine="480"/>
        <w:rPr>
          <w:rFonts w:ascii="宋体" w:hAnsi="宋体"/>
        </w:rPr>
      </w:pPr>
      <w:r>
        <w:rPr>
          <w:rFonts w:hint="eastAsia" w:ascii="宋体" w:hAnsi="宋体"/>
        </w:rPr>
        <w:t>（五）监督并指导各部门和工区项目开展危险源辨识、风险评价与控制工作。</w:t>
      </w:r>
    </w:p>
    <w:p>
      <w:pPr>
        <w:widowControl w:val="0"/>
        <w:ind w:firstLine="482"/>
        <w:rPr>
          <w:rFonts w:ascii="宋体" w:hAnsi="宋体"/>
          <w:color w:val="000000"/>
        </w:rPr>
      </w:pPr>
      <w:bookmarkStart w:id="138" w:name="_Toc444160018"/>
      <w:r>
        <w:rPr>
          <w:rFonts w:hint="eastAsia" w:ascii="宋体" w:hAnsi="宋体"/>
          <w:b/>
        </w:rPr>
        <w:t>第八条</w:t>
      </w:r>
      <w:r>
        <w:rPr>
          <w:rFonts w:hint="eastAsia" w:ascii="宋体" w:hAnsi="宋体"/>
          <w:color w:val="000000"/>
        </w:rPr>
        <w:t xml:space="preserve"> 工区项目部在危险源辨识、风险评价与控制上应履行如下职责：</w:t>
      </w:r>
    </w:p>
    <w:p>
      <w:pPr>
        <w:widowControl w:val="0"/>
        <w:ind w:firstLine="480"/>
        <w:rPr>
          <w:rFonts w:ascii="宋体" w:hAnsi="宋体"/>
          <w:color w:val="000000"/>
        </w:rPr>
      </w:pPr>
      <w:r>
        <w:rPr>
          <w:rFonts w:hint="eastAsia" w:ascii="宋体" w:hAnsi="宋体"/>
          <w:color w:val="000000"/>
        </w:rPr>
        <w:t>（一）依据本制度要求，建立健全本工区项目部相关危险源辨识、风险评价与控制的</w:t>
      </w:r>
      <w:r>
        <w:rPr>
          <w:rFonts w:hint="eastAsia" w:ascii="宋体" w:hAnsi="宋体"/>
        </w:rPr>
        <w:t>工作制度</w:t>
      </w:r>
      <w:r>
        <w:rPr>
          <w:rFonts w:hint="eastAsia" w:ascii="宋体" w:hAnsi="宋体"/>
          <w:color w:val="000000"/>
        </w:rPr>
        <w:t>；</w:t>
      </w:r>
    </w:p>
    <w:p>
      <w:pPr>
        <w:widowControl w:val="0"/>
        <w:ind w:firstLine="480"/>
        <w:rPr>
          <w:rFonts w:ascii="宋体" w:hAnsi="宋体"/>
          <w:color w:val="000000"/>
        </w:rPr>
      </w:pPr>
      <w:r>
        <w:rPr>
          <w:rFonts w:hint="eastAsia" w:ascii="宋体" w:hAnsi="宋体"/>
          <w:color w:val="000000"/>
        </w:rPr>
        <w:t>（二）组织开展本工区项目部危险源辨识、风险评价与控制的工作；</w:t>
      </w:r>
    </w:p>
    <w:p>
      <w:pPr>
        <w:widowControl w:val="0"/>
        <w:ind w:firstLine="480"/>
        <w:rPr>
          <w:rFonts w:ascii="宋体" w:hAnsi="宋体"/>
          <w:color w:val="000000"/>
        </w:rPr>
      </w:pPr>
      <w:r>
        <w:rPr>
          <w:rFonts w:hint="eastAsia" w:ascii="宋体" w:hAnsi="宋体"/>
          <w:color w:val="000000"/>
        </w:rPr>
        <w:t>（三）认真落实事故隐患的整改，确保危险源受控；</w:t>
      </w:r>
    </w:p>
    <w:p>
      <w:pPr>
        <w:widowControl w:val="0"/>
        <w:ind w:firstLine="480"/>
        <w:rPr>
          <w:rFonts w:ascii="宋体" w:hAnsi="宋体"/>
          <w:color w:val="000000"/>
        </w:rPr>
      </w:pPr>
      <w:r>
        <w:rPr>
          <w:rFonts w:hint="eastAsia" w:ascii="宋体" w:hAnsi="宋体"/>
          <w:color w:val="000000"/>
        </w:rPr>
        <w:t>（四）组织开展本工区危险源的检查工作；</w:t>
      </w:r>
    </w:p>
    <w:p>
      <w:pPr>
        <w:widowControl w:val="0"/>
        <w:ind w:firstLine="480"/>
        <w:rPr>
          <w:rFonts w:ascii="宋体" w:hAnsi="宋体"/>
          <w:color w:val="000000"/>
        </w:rPr>
      </w:pPr>
      <w:r>
        <w:rPr>
          <w:rFonts w:hint="eastAsia" w:ascii="宋体" w:hAnsi="宋体"/>
          <w:color w:val="000000"/>
        </w:rPr>
        <w:t>（五）按时上报风险源管控台账，动态管理。</w:t>
      </w:r>
    </w:p>
    <w:p>
      <w:pPr>
        <w:pStyle w:val="3"/>
        <w:widowControl w:val="0"/>
      </w:pPr>
      <w:bookmarkStart w:id="139" w:name="_Toc22045"/>
      <w:bookmarkStart w:id="140" w:name="_Toc456683355"/>
      <w:bookmarkStart w:id="141" w:name="_Toc29018"/>
      <w:r>
        <w:rPr>
          <w:rFonts w:hint="eastAsia"/>
        </w:rPr>
        <w:t>第三章 危险源辨识</w:t>
      </w:r>
      <w:bookmarkEnd w:id="139"/>
      <w:bookmarkEnd w:id="140"/>
      <w:bookmarkEnd w:id="141"/>
    </w:p>
    <w:p>
      <w:pPr>
        <w:widowControl w:val="0"/>
        <w:ind w:firstLine="482"/>
        <w:rPr>
          <w:rFonts w:ascii="宋体" w:hAnsi="宋体"/>
        </w:rPr>
      </w:pPr>
      <w:r>
        <w:rPr>
          <w:rFonts w:hint="eastAsia" w:ascii="宋体" w:hAnsi="宋体"/>
          <w:b/>
        </w:rPr>
        <w:t>第九条</w:t>
      </w:r>
      <w:r>
        <w:rPr>
          <w:rFonts w:hint="eastAsia" w:ascii="宋体" w:hAnsi="宋体"/>
        </w:rPr>
        <w:t xml:space="preserve"> 危险源辨识工作应在工区分管负责人组织下进行，由工区安质环保部牵头，包括工区技术、安全、质量等有关人员及工艺、装备等一线员工组成专业评估小组。</w:t>
      </w:r>
    </w:p>
    <w:p>
      <w:pPr>
        <w:widowControl w:val="0"/>
        <w:ind w:firstLine="482"/>
      </w:pPr>
      <w:r>
        <w:rPr>
          <w:rFonts w:hint="eastAsia" w:ascii="宋体" w:hAnsi="宋体"/>
          <w:b/>
        </w:rPr>
        <w:t>第十条</w:t>
      </w:r>
      <w:r>
        <w:rPr>
          <w:rFonts w:hint="eastAsia" w:ascii="宋体" w:hAnsi="宋体"/>
        </w:rPr>
        <w:t xml:space="preserve"> 危险源辨识应参照《职业健康安全管理体系要求》</w:t>
      </w:r>
      <w:r>
        <w:rPr>
          <w:rFonts w:hint="eastAsia"/>
        </w:rPr>
        <w:t>（GB/T28001）并结合工区项目情况，充分考虑下列因素确定评估范围：</w:t>
      </w:r>
    </w:p>
    <w:p>
      <w:pPr>
        <w:widowControl w:val="0"/>
        <w:ind w:firstLine="480"/>
        <w:rPr>
          <w:rFonts w:ascii="宋体" w:hAnsi="宋体"/>
        </w:rPr>
      </w:pPr>
      <w:r>
        <w:rPr>
          <w:rFonts w:hint="eastAsia" w:ascii="宋体" w:hAnsi="宋体"/>
        </w:rPr>
        <w:t>（一）常规和非常规活动；</w:t>
      </w:r>
    </w:p>
    <w:p>
      <w:pPr>
        <w:widowControl w:val="0"/>
        <w:ind w:firstLine="480"/>
        <w:rPr>
          <w:rFonts w:ascii="宋体" w:hAnsi="宋体"/>
        </w:rPr>
      </w:pPr>
      <w:r>
        <w:rPr>
          <w:rFonts w:hint="eastAsia" w:ascii="宋体" w:hAnsi="宋体"/>
        </w:rPr>
        <w:t>（二）所有进入作业场所的人员（包括相关方和访问者）的活动；</w:t>
      </w:r>
    </w:p>
    <w:p>
      <w:pPr>
        <w:widowControl w:val="0"/>
        <w:ind w:firstLine="480"/>
        <w:rPr>
          <w:rFonts w:ascii="宋体" w:hAnsi="宋体"/>
        </w:rPr>
      </w:pPr>
      <w:r>
        <w:rPr>
          <w:rFonts w:hint="eastAsia" w:ascii="宋体" w:hAnsi="宋体"/>
        </w:rPr>
        <w:t>（三）人的行为、能力和其他人为因素；</w:t>
      </w:r>
    </w:p>
    <w:p>
      <w:pPr>
        <w:widowControl w:val="0"/>
        <w:ind w:firstLine="480"/>
        <w:rPr>
          <w:rFonts w:ascii="宋体" w:hAnsi="宋体"/>
        </w:rPr>
      </w:pPr>
      <w:r>
        <w:rPr>
          <w:rFonts w:hint="eastAsia" w:ascii="宋体" w:hAnsi="宋体"/>
        </w:rPr>
        <w:t>（四）已识别的源于工作场所外，能够对工作场所内组织控制下的人员的健康安全产生不利影响的危险源；</w:t>
      </w:r>
    </w:p>
    <w:p>
      <w:pPr>
        <w:widowControl w:val="0"/>
        <w:ind w:firstLine="480"/>
        <w:rPr>
          <w:rFonts w:ascii="宋体" w:hAnsi="宋体"/>
        </w:rPr>
      </w:pPr>
      <w:r>
        <w:rPr>
          <w:rFonts w:hint="eastAsia" w:ascii="宋体" w:hAnsi="宋体"/>
        </w:rPr>
        <w:t>（五）在工作场所附近，由组织控制下的工作相关活动所产生的危险源；</w:t>
      </w:r>
    </w:p>
    <w:p>
      <w:pPr>
        <w:widowControl w:val="0"/>
        <w:ind w:firstLine="480"/>
        <w:rPr>
          <w:rFonts w:ascii="宋体" w:hAnsi="宋体"/>
        </w:rPr>
      </w:pPr>
      <w:r>
        <w:rPr>
          <w:rFonts w:hint="eastAsia" w:ascii="宋体" w:hAnsi="宋体"/>
        </w:rPr>
        <w:t>（六）由组织或外界所提供的工作场所内的基础设施、设备和材料；</w:t>
      </w:r>
    </w:p>
    <w:p>
      <w:pPr>
        <w:widowControl w:val="0"/>
        <w:ind w:firstLine="480"/>
        <w:rPr>
          <w:rFonts w:ascii="宋体" w:hAnsi="宋体"/>
        </w:rPr>
      </w:pPr>
      <w:r>
        <w:rPr>
          <w:rFonts w:hint="eastAsia" w:ascii="宋体" w:hAnsi="宋体"/>
        </w:rPr>
        <w:t>（七）组织及其活动的变更、材料的变更，或计划的变更；</w:t>
      </w:r>
    </w:p>
    <w:p>
      <w:pPr>
        <w:widowControl w:val="0"/>
        <w:ind w:firstLine="480"/>
        <w:rPr>
          <w:rFonts w:ascii="宋体" w:hAnsi="宋体"/>
        </w:rPr>
      </w:pPr>
      <w:r>
        <w:rPr>
          <w:rFonts w:hint="eastAsia" w:ascii="宋体" w:hAnsi="宋体"/>
        </w:rPr>
        <w:t>（八）职业健康安全管理体系的更改包括临时性变更等，及其对运行、过程和活动的影响；</w:t>
      </w:r>
    </w:p>
    <w:p>
      <w:pPr>
        <w:widowControl w:val="0"/>
        <w:ind w:firstLine="480"/>
        <w:rPr>
          <w:rFonts w:ascii="宋体" w:hAnsi="宋体"/>
        </w:rPr>
      </w:pPr>
      <w:r>
        <w:rPr>
          <w:rFonts w:hint="eastAsia" w:ascii="宋体" w:hAnsi="宋体"/>
        </w:rPr>
        <w:t>（九）所有与风险评价和实施必要控制措施相关的适用法律义务；</w:t>
      </w:r>
    </w:p>
    <w:p>
      <w:pPr>
        <w:widowControl w:val="0"/>
        <w:ind w:firstLine="480"/>
        <w:rPr>
          <w:rFonts w:ascii="宋体" w:hAnsi="宋体"/>
        </w:rPr>
      </w:pPr>
      <w:r>
        <w:rPr>
          <w:rFonts w:hint="eastAsia" w:ascii="宋体" w:hAnsi="宋体"/>
        </w:rPr>
        <w:t>（十）对工作区域、过程、装置和（或）设备、操作程序和工作组织的设计，包括其对人的能力的适应性。</w:t>
      </w:r>
    </w:p>
    <w:p>
      <w:pPr>
        <w:widowControl w:val="0"/>
        <w:ind w:firstLine="482"/>
        <w:rPr>
          <w:rFonts w:ascii="宋体" w:hAnsi="宋体"/>
        </w:rPr>
      </w:pPr>
      <w:r>
        <w:rPr>
          <w:rFonts w:hint="eastAsia" w:ascii="宋体" w:hAnsi="宋体"/>
          <w:b/>
        </w:rPr>
        <w:t>第十一条</w:t>
      </w:r>
      <w:r>
        <w:rPr>
          <w:rFonts w:hint="eastAsia" w:ascii="宋体" w:hAnsi="宋体"/>
        </w:rPr>
        <w:t xml:space="preserve"> 根据确定的评估范围，可按照下列方法，再确定评估对象：</w:t>
      </w:r>
    </w:p>
    <w:p>
      <w:pPr>
        <w:widowControl w:val="0"/>
        <w:ind w:firstLine="480"/>
        <w:rPr>
          <w:rFonts w:ascii="宋体" w:hAnsi="宋体"/>
        </w:rPr>
      </w:pPr>
      <w:r>
        <w:rPr>
          <w:rFonts w:hint="eastAsia" w:ascii="宋体" w:hAnsi="宋体"/>
        </w:rPr>
        <w:t>（一）按照工区项目施工各阶段；</w:t>
      </w:r>
    </w:p>
    <w:p>
      <w:pPr>
        <w:widowControl w:val="0"/>
        <w:ind w:firstLine="480"/>
        <w:rPr>
          <w:rFonts w:ascii="宋体" w:hAnsi="宋体"/>
        </w:rPr>
      </w:pPr>
      <w:r>
        <w:rPr>
          <w:rFonts w:hint="eastAsia" w:ascii="宋体" w:hAnsi="宋体"/>
        </w:rPr>
        <w:t>（二）按照区域地理位置或部门、班组（工位）；</w:t>
      </w:r>
    </w:p>
    <w:p>
      <w:pPr>
        <w:widowControl w:val="0"/>
        <w:ind w:firstLine="480"/>
        <w:rPr>
          <w:rFonts w:ascii="宋体" w:hAnsi="宋体"/>
        </w:rPr>
      </w:pPr>
      <w:r>
        <w:rPr>
          <w:rFonts w:hint="eastAsia" w:ascii="宋体" w:hAnsi="宋体"/>
        </w:rPr>
        <w:t>（三）按照设备、设施等。</w:t>
      </w:r>
    </w:p>
    <w:p>
      <w:pPr>
        <w:widowControl w:val="0"/>
        <w:ind w:firstLine="480"/>
        <w:rPr>
          <w:rFonts w:ascii="宋体" w:hAnsi="宋体"/>
        </w:rPr>
      </w:pPr>
      <w:r>
        <w:rPr>
          <w:rFonts w:hint="eastAsia" w:ascii="宋体" w:hAnsi="宋体"/>
        </w:rPr>
        <w:t>以上方法可单独使用或同时使用。</w:t>
      </w:r>
    </w:p>
    <w:p>
      <w:pPr>
        <w:widowControl w:val="0"/>
        <w:ind w:firstLine="482"/>
        <w:rPr>
          <w:rFonts w:ascii="宋体" w:hAnsi="宋体"/>
        </w:rPr>
      </w:pPr>
      <w:r>
        <w:rPr>
          <w:rFonts w:hint="eastAsia" w:ascii="宋体" w:hAnsi="宋体"/>
          <w:b/>
        </w:rPr>
        <w:t>第十二条</w:t>
      </w:r>
      <w:r>
        <w:rPr>
          <w:rFonts w:hint="eastAsia" w:ascii="宋体" w:hAnsi="宋体"/>
        </w:rPr>
        <w:t xml:space="preserve"> 对所确定的评估对象，可采用对员工访谈、现场观察与检测、查阅历史资料或者使用现有的安全检查表检查等方式，采集相关信息，信息内容主要包括：</w:t>
      </w:r>
    </w:p>
    <w:p>
      <w:pPr>
        <w:widowControl w:val="0"/>
        <w:ind w:firstLine="480"/>
        <w:rPr>
          <w:rFonts w:ascii="宋体" w:hAnsi="宋体"/>
        </w:rPr>
      </w:pPr>
      <w:r>
        <w:rPr>
          <w:rFonts w:hint="eastAsia" w:ascii="宋体" w:hAnsi="宋体"/>
        </w:rPr>
        <w:t>（一）所执行的任务的期限、人员及实施任务的频率；</w:t>
      </w:r>
    </w:p>
    <w:p>
      <w:pPr>
        <w:widowControl w:val="0"/>
        <w:ind w:firstLine="480"/>
        <w:rPr>
          <w:rFonts w:ascii="宋体" w:hAnsi="宋体"/>
        </w:rPr>
      </w:pPr>
      <w:r>
        <w:rPr>
          <w:rFonts w:hint="eastAsia" w:ascii="宋体" w:hAnsi="宋体"/>
        </w:rPr>
        <w:t>（二）可能用到的机械、设备、工具；</w:t>
      </w:r>
    </w:p>
    <w:p>
      <w:pPr>
        <w:widowControl w:val="0"/>
        <w:ind w:firstLine="480"/>
        <w:rPr>
          <w:rFonts w:ascii="宋体" w:hAnsi="宋体"/>
        </w:rPr>
      </w:pPr>
      <w:r>
        <w:rPr>
          <w:rFonts w:hint="eastAsia" w:ascii="宋体" w:hAnsi="宋体"/>
        </w:rPr>
        <w:t>（三）用到或遇到的物质的物理、化学性质；</w:t>
      </w:r>
    </w:p>
    <w:p>
      <w:pPr>
        <w:widowControl w:val="0"/>
        <w:ind w:firstLine="480"/>
        <w:rPr>
          <w:rFonts w:ascii="宋体" w:hAnsi="宋体"/>
        </w:rPr>
      </w:pPr>
      <w:r>
        <w:rPr>
          <w:rFonts w:hint="eastAsia" w:ascii="宋体" w:hAnsi="宋体"/>
        </w:rPr>
        <w:t>（四）工作人员的能力和已接受的任务培训；</w:t>
      </w:r>
    </w:p>
    <w:p>
      <w:pPr>
        <w:widowControl w:val="0"/>
        <w:ind w:firstLine="480"/>
        <w:rPr>
          <w:rFonts w:ascii="宋体" w:hAnsi="宋体"/>
        </w:rPr>
      </w:pPr>
      <w:r>
        <w:rPr>
          <w:rFonts w:hint="eastAsia" w:ascii="宋体" w:hAnsi="宋体"/>
        </w:rPr>
        <w:t>（五）发生过有关事故经历、作业环境监测结果等。</w:t>
      </w:r>
    </w:p>
    <w:p>
      <w:pPr>
        <w:widowControl w:val="0"/>
        <w:ind w:firstLine="482"/>
        <w:rPr>
          <w:rFonts w:ascii="宋体" w:hAnsi="宋体"/>
        </w:rPr>
      </w:pPr>
      <w:r>
        <w:rPr>
          <w:rFonts w:hint="eastAsia" w:ascii="宋体" w:hAnsi="宋体"/>
          <w:b/>
        </w:rPr>
        <w:t>第十三条</w:t>
      </w:r>
      <w:r>
        <w:rPr>
          <w:rFonts w:hint="eastAsia" w:ascii="宋体" w:hAnsi="宋体"/>
        </w:rPr>
        <w:t xml:space="preserve"> 根据评估对象的作业性质、潜在风险大小、危险源复杂程度、现有资源等因素，可选择一种或结合多种评估方法进行危险源辨识。</w:t>
      </w:r>
    </w:p>
    <w:p>
      <w:pPr>
        <w:widowControl w:val="0"/>
        <w:ind w:firstLine="480"/>
        <w:rPr>
          <w:rFonts w:ascii="宋体" w:hAnsi="宋体"/>
        </w:rPr>
      </w:pPr>
      <w:r>
        <w:rPr>
          <w:rFonts w:hint="eastAsia" w:ascii="宋体" w:hAnsi="宋体"/>
        </w:rPr>
        <w:t>（一）对作业环境、设备设施进行危险源辨识可采用安全检查表危害分析（</w:t>
      </w:r>
      <w:r>
        <w:t>SCL</w:t>
      </w:r>
      <w:r>
        <w:rPr>
          <w:rFonts w:hint="eastAsia" w:ascii="宋体" w:hAnsi="宋体"/>
        </w:rPr>
        <w:t>）；</w:t>
      </w:r>
    </w:p>
    <w:p>
      <w:pPr>
        <w:widowControl w:val="0"/>
        <w:ind w:firstLine="480"/>
        <w:rPr>
          <w:rFonts w:ascii="宋体" w:hAnsi="宋体"/>
        </w:rPr>
      </w:pPr>
      <w:r>
        <w:rPr>
          <w:rFonts w:hint="eastAsia" w:ascii="宋体" w:hAnsi="宋体"/>
        </w:rPr>
        <w:t>（二）对关键装置、要害部位，特别是以前经常发生事故的或其他类似装置、部位发生过如火灾、爆炸、人身伤亡等重大事故的，可采用危险与可操作研究</w:t>
      </w:r>
      <w:r>
        <w:rPr>
          <w:rFonts w:hint="eastAsia"/>
        </w:rPr>
        <w:t>（HAZOP）、失效模式与影响分析（FMEA）。</w:t>
      </w:r>
    </w:p>
    <w:p>
      <w:pPr>
        <w:widowControl w:val="0"/>
        <w:ind w:firstLine="480"/>
        <w:rPr>
          <w:rFonts w:ascii="宋体" w:hAnsi="宋体"/>
        </w:rPr>
      </w:pPr>
      <w:r>
        <w:rPr>
          <w:rFonts w:hint="eastAsia" w:ascii="宋体" w:hAnsi="宋体"/>
        </w:rPr>
        <w:t>（三）对相关方的抱怨、法律法规符合性或凭经验可直接观察到潜在的危险源或可预见的事故，可采用头脑风暴法或经验判断法。</w:t>
      </w:r>
    </w:p>
    <w:p>
      <w:pPr>
        <w:widowControl w:val="0"/>
        <w:ind w:firstLine="480"/>
        <w:rPr>
          <w:rFonts w:ascii="宋体" w:hAnsi="宋体"/>
        </w:rPr>
      </w:pPr>
      <w:r>
        <w:rPr>
          <w:rFonts w:hint="eastAsia" w:ascii="宋体" w:hAnsi="宋体"/>
        </w:rPr>
        <w:t>（四）对现场管理人员在具有潜在危险性环境中作业时的危险性、危害性，可采用格雷厄姆评</w:t>
      </w:r>
      <w:r>
        <w:rPr>
          <w:rFonts w:hint="eastAsia"/>
        </w:rPr>
        <w:t>价法（D=LEC），</w:t>
      </w:r>
      <w:r>
        <w:rPr>
          <w:rFonts w:hint="eastAsia" w:ascii="宋体" w:hAnsi="宋体"/>
        </w:rPr>
        <w:t>即作业条件危险评价法。</w:t>
      </w:r>
    </w:p>
    <w:p>
      <w:pPr>
        <w:widowControl w:val="0"/>
        <w:ind w:firstLine="480"/>
        <w:rPr>
          <w:rFonts w:ascii="宋体" w:hAnsi="宋体"/>
        </w:rPr>
      </w:pPr>
      <w:r>
        <w:rPr>
          <w:rFonts w:hint="eastAsia" w:ascii="宋体" w:hAnsi="宋体"/>
        </w:rPr>
        <w:t>（五）对工区项目施工过程风险分析，可采用专家调查法和层次分析法进行风险评价。</w:t>
      </w:r>
    </w:p>
    <w:p>
      <w:pPr>
        <w:widowControl w:val="0"/>
        <w:ind w:firstLine="482"/>
        <w:rPr>
          <w:rFonts w:ascii="宋体" w:hAnsi="宋体"/>
        </w:rPr>
      </w:pPr>
      <w:r>
        <w:rPr>
          <w:rFonts w:hint="eastAsia" w:ascii="宋体" w:hAnsi="宋体"/>
          <w:b/>
        </w:rPr>
        <w:t xml:space="preserve">第十四条 </w:t>
      </w:r>
      <w:r>
        <w:rPr>
          <w:rFonts w:hint="eastAsia" w:ascii="宋体" w:hAnsi="宋体"/>
        </w:rPr>
        <w:t>危险源的辨识应从物的不安全状态、人的不安全行为、环境的不安全因素及管理缺陷等四方面入手，考虑覆盖过去、现在和将来三种时态，正常、异常和紧急三种状态，机械能、化学能、电能、热能、放射能、生物能、人机工程（生理、心理）七种类型，不仅要考虑本企业的人员、设施和活动，同时要考虑相关方活动带来的危险。</w:t>
      </w:r>
    </w:p>
    <w:p>
      <w:pPr>
        <w:widowControl w:val="0"/>
        <w:ind w:firstLine="482"/>
        <w:rPr>
          <w:rFonts w:ascii="宋体" w:hAnsi="宋体"/>
        </w:rPr>
      </w:pPr>
      <w:r>
        <w:rPr>
          <w:rFonts w:hint="eastAsia" w:ascii="宋体" w:hAnsi="宋体"/>
          <w:b/>
        </w:rPr>
        <w:t>第十五条</w:t>
      </w:r>
      <w:r>
        <w:rPr>
          <w:rFonts w:hint="eastAsia" w:ascii="宋体" w:hAnsi="宋体"/>
        </w:rPr>
        <w:t xml:space="preserve"> 针对工序的人员活动、设备设施、作业环境和能源资源等的输入、输出，分别识别出物的因素、人的因素、环境因素、管理因素等各种类型的危险源。危险源的分类可参见《生产过程危险和有害因素分类</w:t>
      </w:r>
      <w:r>
        <w:rPr>
          <w:rFonts w:hint="eastAsia"/>
        </w:rPr>
        <w:t>与代码》（GB/T13861）。</w:t>
      </w:r>
    </w:p>
    <w:p>
      <w:pPr>
        <w:pStyle w:val="3"/>
        <w:widowControl w:val="0"/>
      </w:pPr>
      <w:bookmarkStart w:id="142" w:name="_Toc11415"/>
      <w:bookmarkStart w:id="143" w:name="_Toc31322"/>
      <w:bookmarkStart w:id="144" w:name="_Toc456683357"/>
      <w:r>
        <w:rPr>
          <w:rFonts w:hint="eastAsia"/>
        </w:rPr>
        <w:t>第四章 危险源分级</w:t>
      </w:r>
      <w:bookmarkEnd w:id="142"/>
      <w:bookmarkEnd w:id="143"/>
    </w:p>
    <w:p>
      <w:pPr>
        <w:widowControl w:val="0"/>
        <w:ind w:firstLine="482"/>
        <w:rPr>
          <w:rFonts w:ascii="宋体" w:hAnsi="宋体"/>
        </w:rPr>
      </w:pPr>
      <w:r>
        <w:rPr>
          <w:rFonts w:hint="eastAsia" w:ascii="宋体" w:hAnsi="宋体"/>
          <w:b/>
        </w:rPr>
        <w:t xml:space="preserve">第十六条 </w:t>
      </w:r>
      <w:r>
        <w:rPr>
          <w:rFonts w:hint="eastAsia" w:ascii="宋体" w:hAnsi="宋体"/>
        </w:rPr>
        <w:t>工区项目部应根据本工区的职业健康安全方针目标、职业健康安全风险的性质和规模、可容忍的职业健康安全风险，确定危险源等级。</w:t>
      </w:r>
    </w:p>
    <w:p>
      <w:pPr>
        <w:widowControl w:val="0"/>
        <w:ind w:firstLine="482"/>
        <w:rPr>
          <w:rFonts w:ascii="宋体" w:hAnsi="宋体"/>
        </w:rPr>
      </w:pPr>
      <w:r>
        <w:rPr>
          <w:rFonts w:hint="eastAsia" w:ascii="宋体" w:hAnsi="宋体"/>
          <w:b/>
        </w:rPr>
        <w:t>第十七条</w:t>
      </w:r>
      <w:r>
        <w:rPr>
          <w:rFonts w:hint="eastAsia" w:ascii="宋体" w:hAnsi="宋体"/>
        </w:rPr>
        <w:t xml:space="preserve"> 危险源分为三个等级，分别是重大危险源、重要危险源和一般危险源。</w:t>
      </w:r>
    </w:p>
    <w:p>
      <w:pPr>
        <w:widowControl w:val="0"/>
        <w:ind w:firstLine="482"/>
        <w:rPr>
          <w:rFonts w:ascii="宋体" w:hAnsi="宋体"/>
        </w:rPr>
      </w:pPr>
      <w:r>
        <w:rPr>
          <w:rFonts w:hint="eastAsia" w:ascii="宋体" w:hAnsi="宋体"/>
          <w:b/>
        </w:rPr>
        <w:t>第十八条</w:t>
      </w:r>
      <w:r>
        <w:rPr>
          <w:rFonts w:hint="eastAsia" w:ascii="宋体" w:hAnsi="宋体"/>
        </w:rPr>
        <w:t xml:space="preserve"> 有下列情况之一，应确定为重大危险源。</w:t>
      </w:r>
    </w:p>
    <w:p>
      <w:pPr>
        <w:widowControl w:val="0"/>
        <w:ind w:firstLine="480"/>
        <w:rPr>
          <w:rFonts w:ascii="宋体" w:hAnsi="宋体"/>
        </w:rPr>
      </w:pPr>
      <w:r>
        <w:rPr>
          <w:rFonts w:hint="eastAsia" w:ascii="宋体" w:hAnsi="宋体"/>
        </w:rPr>
        <w:t>（一）达到《危险化学品重大危险源</w:t>
      </w:r>
      <w:r>
        <w:rPr>
          <w:rFonts w:hint="eastAsia"/>
        </w:rPr>
        <w:t>辨识》）GB18218)标</w:t>
      </w:r>
      <w:r>
        <w:rPr>
          <w:rFonts w:hint="eastAsia" w:ascii="宋体" w:hAnsi="宋体"/>
        </w:rPr>
        <w:t>准规定的重大危险源认定标准的；</w:t>
      </w:r>
    </w:p>
    <w:p>
      <w:pPr>
        <w:widowControl w:val="0"/>
        <w:ind w:firstLine="480"/>
        <w:rPr>
          <w:rFonts w:ascii="宋体" w:hAnsi="宋体"/>
        </w:rPr>
      </w:pPr>
      <w:r>
        <w:rPr>
          <w:rFonts w:hint="eastAsia" w:ascii="宋体" w:hAnsi="宋体"/>
        </w:rPr>
        <w:t>（二）根据《关于开展重大危险源监督管理工作的指导意见》（安监管协调</w:t>
      </w:r>
      <w:r>
        <w:rPr>
          <w:rFonts w:hint="eastAsia"/>
        </w:rPr>
        <w:t>字〔2004〕56号）</w:t>
      </w:r>
      <w:r>
        <w:rPr>
          <w:rFonts w:hint="eastAsia" w:ascii="宋体" w:hAnsi="宋体"/>
        </w:rPr>
        <w:t>，符合压力管道、锅炉、压力容器重大危险源标准的危险源。</w:t>
      </w:r>
    </w:p>
    <w:p>
      <w:pPr>
        <w:widowControl w:val="0"/>
        <w:ind w:firstLine="480"/>
        <w:rPr>
          <w:rFonts w:ascii="宋体" w:hAnsi="宋体"/>
        </w:rPr>
      </w:pPr>
      <w:bookmarkStart w:id="145" w:name="_Hlk525313906"/>
      <w:r>
        <w:rPr>
          <w:rFonts w:hint="eastAsia" w:ascii="宋体" w:hAnsi="宋体"/>
        </w:rPr>
        <w:t>（三）经设计单位、质量安全监督单位确认的超过一定规模的危险性较大的分部分项工程清单中的主要影响危险源。</w:t>
      </w:r>
    </w:p>
    <w:bookmarkEnd w:id="145"/>
    <w:p>
      <w:pPr>
        <w:widowControl w:val="0"/>
        <w:ind w:firstLine="482"/>
        <w:rPr>
          <w:rFonts w:ascii="宋体" w:hAnsi="宋体"/>
        </w:rPr>
      </w:pPr>
      <w:r>
        <w:rPr>
          <w:rFonts w:hint="eastAsia" w:ascii="宋体" w:hAnsi="宋体"/>
          <w:b/>
        </w:rPr>
        <w:t>第十九条</w:t>
      </w:r>
      <w:r>
        <w:rPr>
          <w:rFonts w:hint="eastAsia" w:ascii="宋体" w:hAnsi="宋体"/>
        </w:rPr>
        <w:t xml:space="preserve"> 有下列情况之一，应确定为重要危险源。</w:t>
      </w:r>
    </w:p>
    <w:p>
      <w:pPr>
        <w:widowControl w:val="0"/>
        <w:ind w:firstLine="480"/>
        <w:rPr>
          <w:rFonts w:ascii="宋体" w:hAnsi="宋体"/>
        </w:rPr>
      </w:pPr>
      <w:r>
        <w:rPr>
          <w:rFonts w:hint="eastAsia" w:ascii="宋体" w:hAnsi="宋体"/>
        </w:rPr>
        <w:t>（一）经危险源风险评价，属于高度危险及以上或可能造成严重后果的危险源；</w:t>
      </w:r>
    </w:p>
    <w:p>
      <w:pPr>
        <w:widowControl w:val="0"/>
        <w:ind w:firstLine="480"/>
        <w:rPr>
          <w:rFonts w:ascii="宋体" w:hAnsi="宋体"/>
        </w:rPr>
      </w:pPr>
      <w:r>
        <w:rPr>
          <w:rFonts w:hint="eastAsia" w:ascii="宋体" w:hAnsi="宋体"/>
        </w:rPr>
        <w:t>注：危险源风险评价，一般选用格雷厄姆</w:t>
      </w:r>
      <w:r>
        <w:rPr>
          <w:rFonts w:hint="eastAsia"/>
        </w:rPr>
        <w:t>评价法（D=LEC）。</w:t>
      </w:r>
      <w:r>
        <w:rPr>
          <w:rFonts w:hint="eastAsia" w:ascii="宋体" w:hAnsi="宋体"/>
        </w:rPr>
        <w:t>根据危险源风险大小，分为极度危险、高度危险、显著危险、一般危险和稍有危险。</w:t>
      </w:r>
    </w:p>
    <w:p>
      <w:pPr>
        <w:widowControl w:val="0"/>
        <w:ind w:firstLine="480"/>
        <w:rPr>
          <w:rFonts w:ascii="宋体" w:hAnsi="宋体"/>
        </w:rPr>
      </w:pPr>
      <w:r>
        <w:rPr>
          <w:rFonts w:hint="eastAsia" w:ascii="宋体" w:hAnsi="宋体"/>
        </w:rPr>
        <w:t>（二）有害有毒物超标排放，可能诱发职业病以及其它不符合国家或地方相关法律法规的危险源；</w:t>
      </w:r>
    </w:p>
    <w:p>
      <w:pPr>
        <w:widowControl w:val="0"/>
        <w:ind w:firstLine="480"/>
        <w:rPr>
          <w:rFonts w:ascii="宋体" w:hAnsi="宋体"/>
        </w:rPr>
      </w:pPr>
      <w:r>
        <w:rPr>
          <w:rFonts w:hint="eastAsia" w:ascii="宋体" w:hAnsi="宋体"/>
        </w:rPr>
        <w:t>（三）员工多次抱怨或曾导致职业病发生的危险源；</w:t>
      </w:r>
    </w:p>
    <w:p>
      <w:pPr>
        <w:widowControl w:val="0"/>
        <w:ind w:firstLine="480"/>
        <w:rPr>
          <w:rFonts w:ascii="宋体" w:hAnsi="宋体"/>
        </w:rPr>
      </w:pPr>
      <w:r>
        <w:rPr>
          <w:rFonts w:hint="eastAsia" w:ascii="宋体" w:hAnsi="宋体"/>
        </w:rPr>
        <w:t>（四）曾发生过的事故或未遂事故，但没有有效的措施进行治理的危险源。</w:t>
      </w:r>
    </w:p>
    <w:p>
      <w:pPr>
        <w:widowControl w:val="0"/>
        <w:ind w:firstLine="480"/>
        <w:rPr>
          <w:rFonts w:ascii="宋体" w:hAnsi="宋体"/>
        </w:rPr>
      </w:pPr>
      <w:r>
        <w:rPr>
          <w:rFonts w:hint="eastAsia" w:ascii="宋体" w:hAnsi="宋体"/>
        </w:rPr>
        <w:t>（五）凭经验可直接观察到潜在的危险源或可预见的事故。</w:t>
      </w:r>
    </w:p>
    <w:p>
      <w:pPr>
        <w:widowControl w:val="0"/>
        <w:ind w:firstLine="480"/>
        <w:rPr>
          <w:rFonts w:ascii="宋体" w:hAnsi="宋体"/>
        </w:rPr>
      </w:pPr>
      <w:r>
        <w:rPr>
          <w:rFonts w:hint="eastAsia" w:ascii="宋体" w:hAnsi="宋体"/>
        </w:rPr>
        <w:t>（六）列入重大危险源以外的锅炉、压力容器、变配电站、危险物品（易燃易爆物品、危险化学品、放射性物品等）储存与使用等容易造成较大生产安全事故的危险源。</w:t>
      </w:r>
    </w:p>
    <w:p>
      <w:pPr>
        <w:widowControl w:val="0"/>
        <w:ind w:firstLine="480"/>
        <w:rPr>
          <w:rFonts w:ascii="宋体" w:hAnsi="宋体"/>
        </w:rPr>
      </w:pPr>
      <w:r>
        <w:rPr>
          <w:rFonts w:hint="eastAsia" w:ascii="宋体" w:hAnsi="宋体"/>
        </w:rPr>
        <w:t>（七）经设计单位、质量安全监督单位确认的危险性较大的分部分项工程清单中的主要影响危险源。</w:t>
      </w:r>
    </w:p>
    <w:p>
      <w:pPr>
        <w:widowControl w:val="0"/>
        <w:ind w:firstLine="482"/>
        <w:rPr>
          <w:rFonts w:ascii="宋体" w:hAnsi="宋体"/>
        </w:rPr>
      </w:pPr>
      <w:r>
        <w:rPr>
          <w:rFonts w:hint="eastAsia" w:ascii="宋体" w:hAnsi="宋体"/>
          <w:b/>
        </w:rPr>
        <w:t>第二十条</w:t>
      </w:r>
      <w:r>
        <w:rPr>
          <w:rFonts w:hint="eastAsia" w:ascii="宋体" w:hAnsi="宋体"/>
        </w:rPr>
        <w:t xml:space="preserve"> 除重大、重要危险源以外的其他危险源为一般危险源。</w:t>
      </w:r>
    </w:p>
    <w:p>
      <w:pPr>
        <w:pStyle w:val="3"/>
        <w:widowControl w:val="0"/>
      </w:pPr>
      <w:bookmarkStart w:id="146" w:name="_Toc21010"/>
      <w:bookmarkStart w:id="147" w:name="_Toc30807"/>
      <w:r>
        <w:rPr>
          <w:rFonts w:hint="eastAsia"/>
        </w:rPr>
        <w:t>第五章 危险源控制</w:t>
      </w:r>
      <w:bookmarkEnd w:id="144"/>
      <w:bookmarkEnd w:id="146"/>
      <w:bookmarkEnd w:id="147"/>
    </w:p>
    <w:p>
      <w:pPr>
        <w:widowControl w:val="0"/>
        <w:ind w:firstLine="482"/>
        <w:rPr>
          <w:rFonts w:ascii="宋体" w:hAnsi="宋体"/>
        </w:rPr>
      </w:pPr>
      <w:r>
        <w:rPr>
          <w:rFonts w:hint="eastAsia" w:ascii="宋体" w:hAnsi="宋体"/>
          <w:b/>
        </w:rPr>
        <w:t>第二十一条</w:t>
      </w:r>
      <w:r>
        <w:rPr>
          <w:rFonts w:hint="eastAsia" w:ascii="宋体" w:hAnsi="宋体"/>
        </w:rPr>
        <w:t xml:space="preserve"> 对危险源要通过技术措施（设计、建设、运行、维护、检查、检验、防护器具配备等）、组织措施（职责明确、作业要求、应急保障等）和教育措施，对其进行严格控制和管理。按照下列顺序考虑降低风险：</w:t>
      </w:r>
    </w:p>
    <w:p>
      <w:pPr>
        <w:widowControl w:val="0"/>
        <w:ind w:firstLine="480"/>
        <w:rPr>
          <w:rFonts w:ascii="宋体" w:hAnsi="宋体"/>
        </w:rPr>
      </w:pPr>
      <w:r>
        <w:rPr>
          <w:rFonts w:hint="eastAsia"/>
        </w:rPr>
        <w:t>1）消除；2）替代；3）工程控制措施；4）标志、警告和（或）管理控制措施；5）个体防护装备；6）其他措</w:t>
      </w:r>
      <w:r>
        <w:rPr>
          <w:rFonts w:hint="eastAsia" w:ascii="宋体" w:hAnsi="宋体"/>
        </w:rPr>
        <w:t>施。</w:t>
      </w:r>
    </w:p>
    <w:p>
      <w:pPr>
        <w:widowControl w:val="0"/>
        <w:ind w:firstLine="482"/>
        <w:rPr>
          <w:rFonts w:ascii="宋体" w:hAnsi="宋体"/>
        </w:rPr>
      </w:pPr>
      <w:r>
        <w:rPr>
          <w:rFonts w:hint="eastAsia" w:ascii="宋体" w:hAnsi="宋体"/>
          <w:b/>
        </w:rPr>
        <w:t>第二十二条</w:t>
      </w:r>
      <w:r>
        <w:rPr>
          <w:rFonts w:hint="eastAsia" w:ascii="宋体" w:hAnsi="宋体"/>
        </w:rPr>
        <w:t xml:space="preserve"> 建立危险源分布图（表）。针对已识别的危险源应明确危险源名称、危险源的分布位置、该危险源管理的责任部门或责任人、可能发生的事故、对应的控制措施等要求，放置在作业现场并设置安全警示标志。</w:t>
      </w:r>
    </w:p>
    <w:p>
      <w:pPr>
        <w:widowControl w:val="0"/>
        <w:ind w:firstLine="482"/>
        <w:rPr>
          <w:rFonts w:ascii="宋体" w:hAnsi="宋体"/>
        </w:rPr>
      </w:pPr>
      <w:r>
        <w:rPr>
          <w:rFonts w:hint="eastAsia" w:ascii="宋体" w:hAnsi="宋体"/>
          <w:b/>
        </w:rPr>
        <w:t>第二十三条</w:t>
      </w:r>
      <w:r>
        <w:rPr>
          <w:rFonts w:hint="eastAsia" w:ascii="宋体" w:hAnsi="宋体"/>
        </w:rPr>
        <w:t xml:space="preserve"> 及时进行安全检查。总承包部项目部和工区项目部应建立各级危险源安全检查机制，及时对各级危险源进行安全检查。检查中发现的</w:t>
      </w:r>
      <w:bookmarkStart w:id="178" w:name="_GoBack"/>
      <w:r>
        <w:rPr>
          <w:rFonts w:hint="eastAsia" w:ascii="宋体" w:hAnsi="宋体"/>
        </w:rPr>
        <w:t>安全隐患</w:t>
      </w:r>
      <w:bookmarkEnd w:id="178"/>
      <w:r>
        <w:rPr>
          <w:rFonts w:hint="eastAsia" w:ascii="宋体" w:hAnsi="宋体"/>
        </w:rPr>
        <w:t>，应及时采取措施进行整改。</w:t>
      </w:r>
    </w:p>
    <w:p>
      <w:pPr>
        <w:widowControl w:val="0"/>
        <w:ind w:firstLine="482"/>
        <w:rPr>
          <w:rFonts w:ascii="宋体" w:hAnsi="宋体"/>
        </w:rPr>
      </w:pPr>
      <w:r>
        <w:rPr>
          <w:rFonts w:hint="eastAsia" w:ascii="宋体" w:hAnsi="宋体"/>
          <w:b/>
        </w:rPr>
        <w:t>第二十四条</w:t>
      </w:r>
      <w:r>
        <w:rPr>
          <w:rFonts w:hint="eastAsia" w:ascii="宋体" w:hAnsi="宋体"/>
        </w:rPr>
        <w:t xml:space="preserve"> 工区项目部对危险源要实行动态的管理。当工艺调整、工法变更和发生突发事件后，应及时识别、更新危险源。对危险源发生变化，特别是向不利于安全生产方向发展的情况，各级组织和人员要及时上报，并积极采取相应措施，防止事态的进一步恶化。</w:t>
      </w:r>
    </w:p>
    <w:p>
      <w:pPr>
        <w:widowControl w:val="0"/>
        <w:ind w:firstLine="482"/>
        <w:rPr>
          <w:rFonts w:ascii="宋体" w:hAnsi="宋体"/>
        </w:rPr>
      </w:pPr>
      <w:r>
        <w:rPr>
          <w:rFonts w:hint="eastAsia" w:ascii="宋体" w:hAnsi="宋体"/>
          <w:b/>
        </w:rPr>
        <w:t>第二十五条</w:t>
      </w:r>
      <w:r>
        <w:rPr>
          <w:rFonts w:hint="eastAsia" w:ascii="宋体" w:hAnsi="宋体"/>
        </w:rPr>
        <w:t xml:space="preserve"> 工区项目部应保证重要危险源安全管理与监控所需的资金投入，加强在重要危险源安全设施的技术保障措施。</w:t>
      </w:r>
    </w:p>
    <w:p>
      <w:pPr>
        <w:widowControl w:val="0"/>
        <w:ind w:firstLine="482"/>
        <w:rPr>
          <w:rFonts w:ascii="宋体" w:hAnsi="宋体"/>
        </w:rPr>
      </w:pPr>
      <w:r>
        <w:rPr>
          <w:rFonts w:hint="eastAsia" w:ascii="宋体" w:hAnsi="宋体"/>
          <w:b/>
        </w:rPr>
        <w:t>第二十六条</w:t>
      </w:r>
      <w:r>
        <w:rPr>
          <w:rFonts w:hint="eastAsia" w:ascii="宋体" w:hAnsi="宋体"/>
        </w:rPr>
        <w:t xml:space="preserve"> 工区项目部每年要对接触重要危险源的员工进行安全教育和技术培训，使其掌握在紧急情况下应当采取的应急措施。</w:t>
      </w:r>
    </w:p>
    <w:p>
      <w:pPr>
        <w:widowControl w:val="0"/>
        <w:ind w:firstLine="482"/>
        <w:rPr>
          <w:rFonts w:ascii="宋体" w:hAnsi="宋体"/>
        </w:rPr>
      </w:pPr>
      <w:r>
        <w:rPr>
          <w:rFonts w:hint="eastAsia" w:ascii="宋体" w:hAnsi="宋体"/>
          <w:b/>
        </w:rPr>
        <w:t xml:space="preserve">第二十七条 </w:t>
      </w:r>
      <w:r>
        <w:rPr>
          <w:rFonts w:hint="eastAsia" w:ascii="宋体" w:hAnsi="宋体"/>
        </w:rPr>
        <w:t>总承包项目部和工区项目部对重要危险源、有重要危险源的建筑物、构筑物及其周边环境定期开展隐患排查，对存在安全隐患和缺陷的重要危险源进行认真整改，不能立即整改的，必须采取切实可行的临时安全措施，防止事故发生。</w:t>
      </w:r>
    </w:p>
    <w:p>
      <w:pPr>
        <w:widowControl w:val="0"/>
        <w:ind w:firstLine="482"/>
        <w:rPr>
          <w:rFonts w:ascii="宋体" w:hAnsi="宋体"/>
        </w:rPr>
      </w:pPr>
      <w:r>
        <w:rPr>
          <w:rFonts w:hint="eastAsia" w:ascii="宋体" w:hAnsi="宋体"/>
          <w:b/>
        </w:rPr>
        <w:t>第二十八条</w:t>
      </w:r>
      <w:r>
        <w:rPr>
          <w:rFonts w:hint="eastAsia" w:ascii="宋体" w:hAnsi="宋体"/>
        </w:rPr>
        <w:t xml:space="preserve"> 必要时，工区项目部制定和完善重要危险源事故应急预案，配备必要的防护、救援物资和装备，保障其完好，并定期进行应急演练。总承包项目部定期检查应急物资储存情况。</w:t>
      </w:r>
    </w:p>
    <w:p>
      <w:pPr>
        <w:widowControl w:val="0"/>
        <w:ind w:firstLine="482"/>
        <w:rPr>
          <w:rFonts w:ascii="宋体" w:hAnsi="宋体"/>
        </w:rPr>
      </w:pPr>
      <w:r>
        <w:rPr>
          <w:rFonts w:hint="eastAsia" w:ascii="宋体" w:hAnsi="宋体"/>
          <w:b/>
        </w:rPr>
        <w:t>第二十九条</w:t>
      </w:r>
      <w:r>
        <w:rPr>
          <w:rFonts w:hint="eastAsia" w:ascii="宋体" w:hAnsi="宋体"/>
        </w:rPr>
        <w:t xml:space="preserve"> 工区项目部对重大危险源的安全状况应进行定期评估。重大危险源可委托有相关资质的安全评价机构或企业内具有安全评价或注册安全工程师资质的专业人员进行评估，评估后经评审形成评估报告，报总承包项目部备案。评估周期按照国家有关规定执行。</w:t>
      </w:r>
    </w:p>
    <w:p>
      <w:pPr>
        <w:widowControl w:val="0"/>
        <w:ind w:firstLine="482"/>
        <w:rPr>
          <w:rFonts w:ascii="宋体" w:hAnsi="宋体"/>
        </w:rPr>
      </w:pPr>
      <w:r>
        <w:rPr>
          <w:rFonts w:hint="eastAsia" w:ascii="宋体" w:hAnsi="宋体"/>
          <w:b/>
        </w:rPr>
        <w:t>第三十条</w:t>
      </w:r>
      <w:r>
        <w:rPr>
          <w:rFonts w:hint="eastAsia" w:ascii="宋体" w:hAnsi="宋体"/>
        </w:rPr>
        <w:t xml:space="preserve"> 总承包项目部应健全在建项目重大危险源档案。档案主要内容包括：</w:t>
      </w:r>
      <w:r>
        <w:rPr>
          <w:rFonts w:hint="eastAsia" w:ascii="宋体" w:hAnsi="宋体"/>
          <w:color w:val="000000"/>
        </w:rPr>
        <w:t>工程名称、项目负责人、项目地址、</w:t>
      </w:r>
      <w:r>
        <w:rPr>
          <w:rFonts w:hint="eastAsia" w:ascii="宋体" w:hAnsi="宋体"/>
        </w:rPr>
        <w:t>联系人、联系方式、危险源的种类及基本特征、危险源相关图纸和图片、危险源安全管理责任制、安全管理制度及安全操作规程、危险源监控措施及检测报告、事故应急预案、危险源安全评估报告和其他相关情况等。</w:t>
      </w:r>
    </w:p>
    <w:p>
      <w:pPr>
        <w:widowControl w:val="0"/>
        <w:ind w:firstLine="482"/>
        <w:rPr>
          <w:rFonts w:ascii="宋体" w:hAnsi="宋体"/>
        </w:rPr>
      </w:pPr>
      <w:r>
        <w:rPr>
          <w:rFonts w:hint="eastAsia" w:ascii="宋体" w:hAnsi="宋体"/>
          <w:b/>
        </w:rPr>
        <w:t>第三十一条</w:t>
      </w:r>
      <w:r>
        <w:rPr>
          <w:rFonts w:hint="eastAsia" w:ascii="宋体" w:hAnsi="宋体"/>
        </w:rPr>
        <w:t xml:space="preserve"> 加强重大危险源的统计上报。每年年初，总承包项目部应将本项目上一年的重大危险源及重大安全隐患进行统计并上报上级单位。</w:t>
      </w:r>
    </w:p>
    <w:bookmarkEnd w:id="138"/>
    <w:p>
      <w:pPr>
        <w:pStyle w:val="3"/>
        <w:widowControl w:val="0"/>
      </w:pPr>
      <w:bookmarkStart w:id="148" w:name="_Toc456683358"/>
      <w:bookmarkStart w:id="149" w:name="_Toc26543"/>
      <w:bookmarkStart w:id="150" w:name="_Toc25146"/>
      <w:r>
        <w:rPr>
          <w:rFonts w:hint="eastAsia"/>
        </w:rPr>
        <w:t>第六章 监督与考核</w:t>
      </w:r>
      <w:bookmarkEnd w:id="148"/>
      <w:bookmarkEnd w:id="149"/>
      <w:bookmarkEnd w:id="150"/>
    </w:p>
    <w:p>
      <w:pPr>
        <w:widowControl w:val="0"/>
        <w:ind w:firstLine="482"/>
        <w:rPr>
          <w:rFonts w:ascii="宋体" w:hAnsi="宋体"/>
        </w:rPr>
      </w:pPr>
      <w:r>
        <w:rPr>
          <w:rFonts w:hint="eastAsia" w:ascii="宋体" w:hAnsi="宋体"/>
          <w:b/>
        </w:rPr>
        <w:t>第三十二条</w:t>
      </w:r>
      <w:r>
        <w:rPr>
          <w:rFonts w:hint="eastAsia" w:ascii="宋体" w:hAnsi="宋体"/>
        </w:rPr>
        <w:t xml:space="preserve"> 总承包项目部每季度组织一次安全监督检查，对存在的重大安全隐患进行挂牌督办。</w:t>
      </w:r>
    </w:p>
    <w:p>
      <w:pPr>
        <w:widowControl w:val="0"/>
        <w:ind w:firstLine="482"/>
        <w:rPr>
          <w:rFonts w:ascii="宋体" w:hAnsi="宋体"/>
        </w:rPr>
      </w:pPr>
      <w:r>
        <w:rPr>
          <w:rFonts w:hint="eastAsia" w:ascii="宋体" w:hAnsi="宋体"/>
          <w:b/>
        </w:rPr>
        <w:t>第三十三条</w:t>
      </w:r>
      <w:r>
        <w:rPr>
          <w:rFonts w:hint="eastAsia" w:ascii="宋体" w:hAnsi="宋体"/>
        </w:rPr>
        <w:t xml:space="preserve"> 因不履行重大（要）危险源管理责任，造成重大（要）危险源管理失控的责任单位、责任人，按相关考核制度实施考核；对未履行职责而造成重大安全事故的责任单位、责任人，按照相关规定予以考核和责任追究。</w:t>
      </w:r>
    </w:p>
    <w:p>
      <w:pPr>
        <w:pStyle w:val="3"/>
        <w:widowControl w:val="0"/>
      </w:pPr>
      <w:bookmarkStart w:id="151" w:name="_Toc444160021"/>
      <w:bookmarkStart w:id="152" w:name="_Toc19736"/>
      <w:bookmarkStart w:id="153" w:name="_Toc12725"/>
      <w:r>
        <w:rPr>
          <w:rFonts w:hint="eastAsia"/>
        </w:rPr>
        <w:t>第七章 附则</w:t>
      </w:r>
      <w:bookmarkEnd w:id="151"/>
      <w:bookmarkEnd w:id="152"/>
      <w:bookmarkEnd w:id="153"/>
    </w:p>
    <w:p>
      <w:pPr>
        <w:widowControl w:val="0"/>
        <w:ind w:firstLine="482"/>
        <w:rPr>
          <w:rFonts w:ascii="宋体" w:hAnsi="宋体"/>
        </w:rPr>
      </w:pPr>
      <w:r>
        <w:rPr>
          <w:rFonts w:hint="eastAsia" w:ascii="宋体" w:hAnsi="宋体"/>
          <w:b/>
        </w:rPr>
        <w:t>第三十四条</w:t>
      </w:r>
      <w:r>
        <w:rPr>
          <w:rFonts w:hint="eastAsia" w:ascii="宋体" w:hAnsi="宋体"/>
        </w:rPr>
        <w:t xml:space="preserve"> 术语与定义</w:t>
      </w:r>
    </w:p>
    <w:p>
      <w:pPr>
        <w:widowControl w:val="0"/>
        <w:ind w:firstLine="480"/>
        <w:rPr>
          <w:rFonts w:ascii="宋体" w:hAnsi="宋体"/>
        </w:rPr>
      </w:pPr>
      <w:r>
        <w:rPr>
          <w:rFonts w:hint="eastAsia" w:ascii="宋体" w:hAnsi="宋体"/>
        </w:rPr>
        <w:t>（一）危险源：可能导致人身伤害和（或）健康损害的根源、状态或行为，或其组合。</w:t>
      </w:r>
    </w:p>
    <w:p>
      <w:pPr>
        <w:widowControl w:val="0"/>
        <w:ind w:firstLine="480"/>
        <w:rPr>
          <w:rFonts w:ascii="宋体" w:hAnsi="宋体"/>
        </w:rPr>
      </w:pPr>
      <w:r>
        <w:rPr>
          <w:rFonts w:hint="eastAsia" w:ascii="宋体" w:hAnsi="宋体"/>
        </w:rPr>
        <w:t>（二）重大危险源：指长期地或者临时地生产、搬运、使用或者储存危险物品，且危险物品的数量等于或者超过临界量的单元（包括场所和设施）。</w:t>
      </w:r>
    </w:p>
    <w:p>
      <w:pPr>
        <w:widowControl w:val="0"/>
        <w:ind w:firstLine="480"/>
        <w:rPr>
          <w:rFonts w:ascii="宋体" w:hAnsi="宋体"/>
        </w:rPr>
      </w:pPr>
      <w:r>
        <w:rPr>
          <w:rFonts w:hint="eastAsia" w:ascii="宋体" w:hAnsi="宋体"/>
        </w:rPr>
        <w:t>（三）重要危险源：构不成重大危险源，但风险较大或可能造成严重后果的危险源。</w:t>
      </w:r>
    </w:p>
    <w:p>
      <w:pPr>
        <w:widowControl w:val="0"/>
        <w:ind w:firstLine="480"/>
        <w:rPr>
          <w:rFonts w:ascii="宋体" w:hAnsi="宋体"/>
        </w:rPr>
      </w:pPr>
      <w:r>
        <w:rPr>
          <w:rFonts w:hint="eastAsia" w:ascii="宋体" w:hAnsi="宋体"/>
        </w:rPr>
        <w:t>（四）危险源辨识：识别危险源的存在并确定其特性的过程。</w:t>
      </w:r>
    </w:p>
    <w:p>
      <w:pPr>
        <w:widowControl w:val="0"/>
        <w:ind w:firstLine="480"/>
        <w:rPr>
          <w:rFonts w:ascii="宋体" w:hAnsi="宋体"/>
        </w:rPr>
      </w:pPr>
      <w:r>
        <w:rPr>
          <w:rFonts w:hint="eastAsia" w:ascii="宋体" w:hAnsi="宋体"/>
        </w:rPr>
        <w:t>（五）风险：发生危险事件或有害暴露的可能性，与随之引发的人身伤害或健康损害的严重性的组合。</w:t>
      </w:r>
    </w:p>
    <w:p>
      <w:pPr>
        <w:widowControl w:val="0"/>
        <w:ind w:firstLine="480"/>
        <w:rPr>
          <w:rFonts w:ascii="宋体" w:hAnsi="宋体"/>
        </w:rPr>
      </w:pPr>
      <w:r>
        <w:rPr>
          <w:rFonts w:hint="eastAsia" w:ascii="宋体" w:hAnsi="宋体"/>
        </w:rPr>
        <w:t>（六）风险评价：对危险源导致的风险进行评估，对现有控制措施的充分性加以考虑以及对风险是否可接受予以确定的过程。</w:t>
      </w:r>
    </w:p>
    <w:p>
      <w:pPr>
        <w:widowControl w:val="0"/>
        <w:ind w:firstLine="482"/>
        <w:rPr>
          <w:rFonts w:ascii="宋体" w:hAnsi="宋体"/>
        </w:rPr>
      </w:pPr>
      <w:r>
        <w:rPr>
          <w:rFonts w:hint="eastAsia" w:ascii="宋体" w:hAnsi="宋体"/>
          <w:b/>
        </w:rPr>
        <w:t xml:space="preserve">第三十五条 </w:t>
      </w:r>
      <w:r>
        <w:rPr>
          <w:rFonts w:hint="eastAsia" w:ascii="宋体" w:hAnsi="宋体"/>
        </w:rPr>
        <w:t>本制度由安质环保部负责解释及修订。</w:t>
      </w:r>
    </w:p>
    <w:p>
      <w:pPr>
        <w:widowControl w:val="0"/>
        <w:ind w:firstLine="482"/>
        <w:rPr>
          <w:rFonts w:ascii="宋体" w:hAnsi="宋体"/>
        </w:rPr>
      </w:pPr>
      <w:r>
        <w:rPr>
          <w:rFonts w:hint="eastAsia" w:ascii="宋体" w:hAnsi="宋体"/>
          <w:b/>
        </w:rPr>
        <w:t xml:space="preserve">第三十六条 </w:t>
      </w:r>
      <w:r>
        <w:rPr>
          <w:rFonts w:hint="eastAsia" w:ascii="宋体" w:hAnsi="宋体"/>
        </w:rPr>
        <w:t>本制度自发布之日起实施。</w:t>
      </w:r>
    </w:p>
    <w:p>
      <w:pPr>
        <w:widowControl w:val="0"/>
        <w:ind w:firstLine="480"/>
        <w:rPr>
          <w:rFonts w:ascii="宋体" w:hAnsi="宋体"/>
        </w:rPr>
      </w:pPr>
    </w:p>
    <w:p>
      <w:pPr>
        <w:widowControl w:val="0"/>
        <w:ind w:firstLine="480"/>
        <w:rPr>
          <w:rFonts w:ascii="宋体" w:hAnsi="宋体"/>
        </w:rPr>
      </w:pPr>
      <w:r>
        <w:rPr>
          <w:rFonts w:ascii="宋体" w:hAnsi="宋体"/>
        </w:rPr>
        <w:br w:type="page"/>
      </w:r>
    </w:p>
    <w:p>
      <w:pPr>
        <w:pStyle w:val="2"/>
      </w:pPr>
      <w:bookmarkStart w:id="154" w:name="_Toc8989"/>
      <w:bookmarkStart w:id="155" w:name="_Toc15881"/>
      <w:r>
        <w:rPr>
          <w:rFonts w:hint="eastAsia"/>
        </w:rPr>
        <w:t>十三、动火审批制度</w:t>
      </w:r>
      <w:bookmarkEnd w:id="134"/>
      <w:bookmarkEnd w:id="154"/>
      <w:bookmarkEnd w:id="155"/>
    </w:p>
    <w:p>
      <w:pPr>
        <w:widowControl w:val="0"/>
        <w:ind w:firstLine="482"/>
      </w:pPr>
      <w:bookmarkStart w:id="156" w:name="_Hlk525280264"/>
      <w:r>
        <w:rPr>
          <w:rFonts w:hint="eastAsia"/>
          <w:b/>
          <w:bCs/>
        </w:rPr>
        <w:t xml:space="preserve">第一条 </w:t>
      </w:r>
      <w:r>
        <w:rPr>
          <w:rFonts w:hint="eastAsia"/>
        </w:rPr>
        <w:t>为</w:t>
      </w:r>
      <w:r>
        <w:rPr>
          <w:rFonts w:hint="eastAsia" w:ascii="宋体" w:hAnsi="宋体" w:eastAsia="宋体"/>
          <w:bCs/>
        </w:rPr>
        <w:t>了规范苏州中车建设工程有限公司台州市域铁</w:t>
      </w:r>
      <w:r>
        <w:rPr>
          <w:rFonts w:hint="eastAsia"/>
        </w:rPr>
        <w:t>路S1线一期PPP项目工程总承包项目部（以下简称“总承包项目部”）动火的管理工作，结合总承包项目部的实际情况，制定本制度。</w:t>
      </w:r>
    </w:p>
    <w:bookmarkEnd w:id="156"/>
    <w:p>
      <w:pPr>
        <w:widowControl w:val="0"/>
        <w:ind w:firstLine="482"/>
      </w:pPr>
      <w:r>
        <w:rPr>
          <w:rFonts w:hint="eastAsia"/>
          <w:b/>
          <w:bCs/>
        </w:rPr>
        <w:t xml:space="preserve">第二条 </w:t>
      </w:r>
      <w:r>
        <w:rPr>
          <w:rFonts w:hint="eastAsia"/>
        </w:rPr>
        <w:t>工地现场施工作业需动用明火的，必须严格按照动火审批制度执行。</w:t>
      </w:r>
    </w:p>
    <w:p>
      <w:pPr>
        <w:widowControl w:val="0"/>
        <w:ind w:firstLine="482"/>
      </w:pPr>
      <w:r>
        <w:rPr>
          <w:rFonts w:hint="eastAsia"/>
          <w:b/>
          <w:bCs/>
        </w:rPr>
        <w:t xml:space="preserve">第三条 </w:t>
      </w:r>
      <w:r>
        <w:rPr>
          <w:rFonts w:hint="eastAsia"/>
        </w:rPr>
        <w:t>在易燃场所使用明火要执行动用明火审批制度，按制度划分级别，按动火级别进行审批，即按动火申请的时间和批准的期限执行。审批手续应合理完善，并有监护措施。</w:t>
      </w:r>
    </w:p>
    <w:p>
      <w:pPr>
        <w:widowControl w:val="0"/>
        <w:ind w:firstLine="482"/>
      </w:pPr>
      <w:r>
        <w:rPr>
          <w:rFonts w:hint="eastAsia"/>
          <w:b/>
          <w:bCs/>
        </w:rPr>
        <w:t xml:space="preserve">第四条 </w:t>
      </w:r>
      <w:r>
        <w:rPr>
          <w:rFonts w:hint="eastAsia"/>
        </w:rPr>
        <w:t>办理动火审批后，动火作业必须由专业持证人员进行操作，并配备灭火器材和设专人现场进行监护。</w:t>
      </w:r>
    </w:p>
    <w:p>
      <w:pPr>
        <w:widowControl w:val="0"/>
        <w:ind w:firstLine="482"/>
      </w:pPr>
      <w:r>
        <w:rPr>
          <w:rFonts w:hint="eastAsia"/>
          <w:b/>
          <w:bCs/>
        </w:rPr>
        <w:t xml:space="preserve">第五条 </w:t>
      </w:r>
      <w:r>
        <w:rPr>
          <w:rFonts w:hint="eastAsia"/>
        </w:rPr>
        <w:t>执行动火奖惩制度，对严格认真按照动火审批制度执行的予以奖励，对不按照动火审批制度执行，擅自进行动火的予以处罚。</w:t>
      </w:r>
    </w:p>
    <w:p>
      <w:pPr>
        <w:widowControl w:val="0"/>
        <w:ind w:firstLine="482"/>
      </w:pPr>
      <w:r>
        <w:rPr>
          <w:rFonts w:hint="eastAsia"/>
          <w:b/>
          <w:bCs/>
        </w:rPr>
        <w:t xml:space="preserve">第六条 </w:t>
      </w:r>
      <w:r>
        <w:rPr>
          <w:rFonts w:hint="eastAsia"/>
        </w:rPr>
        <w:t>办理动火证后如不能按时进行动火施工，应及时</w:t>
      </w:r>
      <w:r>
        <w:rPr>
          <w:rFonts w:hint="eastAsia"/>
          <w:lang w:val="en-US" w:eastAsia="zh-CN"/>
        </w:rPr>
        <w:t>销</w:t>
      </w:r>
      <w:r>
        <w:rPr>
          <w:rFonts w:hint="eastAsia"/>
        </w:rPr>
        <w:t>号，动火时重新办理。</w:t>
      </w:r>
    </w:p>
    <w:p>
      <w:pPr>
        <w:widowControl w:val="0"/>
        <w:ind w:firstLine="482"/>
      </w:pPr>
      <w:r>
        <w:rPr>
          <w:rFonts w:hint="eastAsia"/>
          <w:b/>
          <w:bCs/>
        </w:rPr>
        <w:t xml:space="preserve">第七条 </w:t>
      </w:r>
      <w:r>
        <w:rPr>
          <w:rFonts w:hint="eastAsia"/>
        </w:rPr>
        <w:t>动火审批人员要对动火人和监护人进行动火前、后的有关制度的教育，同时要认真检查动火设备是否完好。</w:t>
      </w:r>
    </w:p>
    <w:p>
      <w:pPr>
        <w:widowControl w:val="0"/>
        <w:ind w:firstLine="482"/>
      </w:pPr>
      <w:r>
        <w:rPr>
          <w:rFonts w:hint="eastAsia"/>
          <w:b/>
          <w:bCs/>
        </w:rPr>
        <w:t xml:space="preserve">第八条 </w:t>
      </w:r>
      <w:r>
        <w:rPr>
          <w:rFonts w:hint="eastAsia"/>
        </w:rPr>
        <w:t>总承包项目部每月至少检查一次动火审批及现场动火情况，为制度执行情况及奖惩情况提供依据。</w:t>
      </w:r>
    </w:p>
    <w:p>
      <w:pPr>
        <w:widowControl w:val="0"/>
        <w:spacing w:line="240" w:lineRule="auto"/>
        <w:ind w:firstLine="0" w:firstLineChars="0"/>
        <w:jc w:val="left"/>
        <w:rPr>
          <w:b/>
          <w:sz w:val="32"/>
          <w:szCs w:val="22"/>
        </w:rPr>
      </w:pPr>
      <w:r>
        <w:br w:type="page"/>
      </w:r>
    </w:p>
    <w:p>
      <w:pPr>
        <w:pStyle w:val="2"/>
      </w:pPr>
      <w:bookmarkStart w:id="157" w:name="_Toc27815"/>
      <w:bookmarkStart w:id="158" w:name="_Toc517516706"/>
      <w:bookmarkStart w:id="159" w:name="_Toc13333"/>
      <w:r>
        <w:rPr>
          <w:rFonts w:hint="eastAsia"/>
        </w:rPr>
        <w:t>十四、治安保卫制度</w:t>
      </w:r>
      <w:bookmarkEnd w:id="157"/>
      <w:bookmarkEnd w:id="158"/>
      <w:bookmarkEnd w:id="159"/>
    </w:p>
    <w:p>
      <w:pPr>
        <w:widowControl w:val="0"/>
        <w:ind w:firstLine="482"/>
      </w:pPr>
      <w:bookmarkStart w:id="160" w:name="_Hlk525288700"/>
      <w:r>
        <w:rPr>
          <w:rFonts w:hint="eastAsia"/>
          <w:b/>
          <w:bCs/>
        </w:rPr>
        <w:t xml:space="preserve">第一条 </w:t>
      </w:r>
      <w:r>
        <w:rPr>
          <w:rFonts w:hint="eastAsia"/>
        </w:rPr>
        <w:t>为</w:t>
      </w:r>
      <w:r>
        <w:rPr>
          <w:rFonts w:hint="eastAsia" w:ascii="宋体" w:hAnsi="宋体" w:eastAsia="宋体"/>
          <w:bCs/>
        </w:rPr>
        <w:t>了规范苏州中车建设工程有限公司台州市域铁</w:t>
      </w:r>
      <w:r>
        <w:rPr>
          <w:rFonts w:hint="eastAsia"/>
        </w:rPr>
        <w:t>路S1线一期PPP项目工程总承包项目部（以下简称“总承包项目部”）治安保卫的管理工作，结合总承包项目部的实际情况，制定本制度。</w:t>
      </w:r>
    </w:p>
    <w:bookmarkEnd w:id="160"/>
    <w:p>
      <w:pPr>
        <w:widowControl w:val="0"/>
        <w:ind w:firstLine="482"/>
      </w:pPr>
      <w:r>
        <w:rPr>
          <w:rFonts w:hint="eastAsia"/>
          <w:b/>
          <w:bCs/>
        </w:rPr>
        <w:t xml:space="preserve">第二条 </w:t>
      </w:r>
      <w:r>
        <w:rPr>
          <w:rFonts w:hint="eastAsia"/>
        </w:rPr>
        <w:t>施工现场必须安排责任心强，身体健康人员值班，值班人员要协助材料员，做好材料进出的验收，做好施工现场的安全防范工作，加强巡逻检查，严防坏人进行偷盗和破坏活动。</w:t>
      </w:r>
    </w:p>
    <w:p>
      <w:pPr>
        <w:widowControl w:val="0"/>
        <w:ind w:firstLine="482"/>
      </w:pPr>
      <w:r>
        <w:rPr>
          <w:rFonts w:hint="eastAsia"/>
          <w:b/>
          <w:bCs/>
        </w:rPr>
        <w:t xml:space="preserve">第三条 </w:t>
      </w:r>
      <w:r>
        <w:rPr>
          <w:rFonts w:hint="eastAsia"/>
        </w:rPr>
        <w:t>施工现场办公室必须门窗完整、安全，钥匙要随身携带，做到人离关窗、上锁，贵重物品要随身携带。</w:t>
      </w:r>
    </w:p>
    <w:p>
      <w:pPr>
        <w:widowControl w:val="0"/>
        <w:ind w:firstLine="482"/>
      </w:pPr>
      <w:r>
        <w:rPr>
          <w:rFonts w:hint="eastAsia"/>
          <w:b/>
          <w:bCs/>
        </w:rPr>
        <w:t xml:space="preserve">第四条 </w:t>
      </w:r>
      <w:r>
        <w:rPr>
          <w:rFonts w:hint="eastAsia"/>
        </w:rPr>
        <w:t>施工现场的物资要分类堆放，留出通道不要紧靠围墙。</w:t>
      </w:r>
    </w:p>
    <w:p>
      <w:pPr>
        <w:widowControl w:val="0"/>
        <w:ind w:firstLine="482"/>
      </w:pPr>
      <w:r>
        <w:rPr>
          <w:rFonts w:hint="eastAsia"/>
          <w:b/>
          <w:bCs/>
        </w:rPr>
        <w:t xml:space="preserve">第五条 </w:t>
      </w:r>
      <w:r>
        <w:rPr>
          <w:rFonts w:hint="eastAsia"/>
        </w:rPr>
        <w:t>材料运出现场，应填写证明，及时清理水泥袋等易燃物，工程竣工时要及时收回多余材料。</w:t>
      </w:r>
    </w:p>
    <w:p>
      <w:pPr>
        <w:widowControl w:val="0"/>
        <w:ind w:firstLine="482"/>
      </w:pPr>
      <w:r>
        <w:rPr>
          <w:rFonts w:hint="eastAsia"/>
          <w:b/>
          <w:bCs/>
        </w:rPr>
        <w:t xml:space="preserve">第六条 </w:t>
      </w:r>
      <w:r>
        <w:rPr>
          <w:rFonts w:hint="eastAsia"/>
        </w:rPr>
        <w:t>钢配件、铝合金等贵重材料物资应存放在专门的安全地点。</w:t>
      </w:r>
    </w:p>
    <w:p>
      <w:pPr>
        <w:widowControl w:val="0"/>
        <w:ind w:firstLine="482"/>
      </w:pPr>
      <w:r>
        <w:rPr>
          <w:rFonts w:hint="eastAsia"/>
          <w:b/>
          <w:bCs/>
        </w:rPr>
        <w:t xml:space="preserve">第七条 </w:t>
      </w:r>
      <w:r>
        <w:rPr>
          <w:rFonts w:hint="eastAsia"/>
        </w:rPr>
        <w:t>施工现场配备的消防器材要有专人负责，标明有效期，妥善保管，不得乱丢乱放或移作他用。</w:t>
      </w:r>
    </w:p>
    <w:p>
      <w:pPr>
        <w:widowControl w:val="0"/>
        <w:ind w:firstLine="482"/>
      </w:pPr>
      <w:r>
        <w:rPr>
          <w:rFonts w:hint="eastAsia"/>
          <w:b/>
          <w:bCs/>
        </w:rPr>
        <w:t xml:space="preserve">第八条 </w:t>
      </w:r>
      <w:r>
        <w:rPr>
          <w:rFonts w:hint="eastAsia"/>
        </w:rPr>
        <w:t>施工现场食堂食物要存放在安全、卫生的地方妥善保管。</w:t>
      </w:r>
    </w:p>
    <w:p>
      <w:pPr>
        <w:widowControl w:val="0"/>
        <w:ind w:firstLine="482"/>
      </w:pPr>
      <w:r>
        <w:rPr>
          <w:rFonts w:hint="eastAsia"/>
          <w:b/>
          <w:bCs/>
        </w:rPr>
        <w:t xml:space="preserve">第九条 </w:t>
      </w:r>
      <w:r>
        <w:rPr>
          <w:rFonts w:hint="eastAsia"/>
        </w:rPr>
        <w:t>发生事故或案件，要保护好现场，并及时向公安、保卫部门报告，积极协助公安、保卫部门侦破案件。</w:t>
      </w:r>
    </w:p>
    <w:p>
      <w:pPr>
        <w:widowControl w:val="0"/>
        <w:ind w:firstLine="482"/>
      </w:pPr>
      <w:r>
        <w:rPr>
          <w:rFonts w:hint="eastAsia"/>
          <w:b/>
          <w:bCs/>
        </w:rPr>
        <w:t xml:space="preserve">第十条 </w:t>
      </w:r>
      <w:r>
        <w:rPr>
          <w:rFonts w:hint="eastAsia"/>
        </w:rPr>
        <w:t>班组必须配备门卫值班人员的领导，安质环保部对门卫值班人员进行业务指导并进行督促检查。</w:t>
      </w:r>
    </w:p>
    <w:p>
      <w:pPr>
        <w:widowControl w:val="0"/>
        <w:ind w:firstLine="482"/>
      </w:pPr>
      <w:r>
        <w:rPr>
          <w:rFonts w:hint="eastAsia"/>
          <w:b/>
          <w:bCs/>
        </w:rPr>
        <w:t xml:space="preserve">第十一条 </w:t>
      </w:r>
      <w:r>
        <w:rPr>
          <w:rFonts w:hint="eastAsia"/>
        </w:rPr>
        <w:t>对现场的一切建筑物资、设备的数量、规格进行查对，符合出门单的准予出门，凡是无出门单或者出门单不符的，门卫有权暂扣。节假日和下班以后，原则上不准物资出门，如生产急用，除了必须有出门单据外，经办人员必须出示本人证件，向值班门卫登记签名。</w:t>
      </w:r>
    </w:p>
    <w:p>
      <w:pPr>
        <w:widowControl w:val="0"/>
        <w:ind w:firstLine="482"/>
      </w:pPr>
      <w:r>
        <w:rPr>
          <w:rFonts w:hint="eastAsia"/>
          <w:b/>
          <w:bCs/>
        </w:rPr>
        <w:t xml:space="preserve">第十二条 </w:t>
      </w:r>
      <w:r>
        <w:rPr>
          <w:rFonts w:hint="eastAsia"/>
        </w:rPr>
        <w:t>个人携带物品进入大门，值班门卫认为有必要时，有权进行检查，不得拒绝。</w:t>
      </w:r>
    </w:p>
    <w:p>
      <w:pPr>
        <w:widowControl w:val="0"/>
        <w:ind w:firstLine="482"/>
      </w:pPr>
      <w:r>
        <w:rPr>
          <w:rFonts w:hint="eastAsia"/>
          <w:b/>
          <w:bCs/>
        </w:rPr>
        <w:t xml:space="preserve">第十三条 </w:t>
      </w:r>
      <w:r>
        <w:rPr>
          <w:rFonts w:hint="eastAsia"/>
        </w:rPr>
        <w:t>提高警惕，对职责范围内的地区勤巡视、勤检查，防止发生偷窃或治安灾害事故的发生，发现可疑情况及时报告公安、保卫部门。</w:t>
      </w:r>
    </w:p>
    <w:p>
      <w:pPr>
        <w:widowControl w:val="0"/>
        <w:ind w:firstLine="482"/>
      </w:pPr>
      <w:r>
        <w:rPr>
          <w:rFonts w:hint="eastAsia"/>
          <w:b/>
          <w:bCs/>
        </w:rPr>
        <w:t xml:space="preserve">第十四条 </w:t>
      </w:r>
      <w:r>
        <w:rPr>
          <w:rFonts w:hint="eastAsia"/>
        </w:rPr>
        <w:t>夜间值班的门卫要将报警器插入电源。</w:t>
      </w:r>
    </w:p>
    <w:p>
      <w:pPr>
        <w:widowControl w:val="0"/>
        <w:ind w:firstLine="482"/>
      </w:pPr>
      <w:r>
        <w:rPr>
          <w:rFonts w:hint="eastAsia"/>
          <w:b/>
          <w:bCs/>
        </w:rPr>
        <w:t xml:space="preserve">第十五条 </w:t>
      </w:r>
      <w:r>
        <w:rPr>
          <w:rFonts w:hint="eastAsia"/>
        </w:rPr>
        <w:t>外单位人员进入施工场地，必须在值班室登记经门卫同意后方可进入，夜间访友者必须在晚上十时以前离开。</w:t>
      </w:r>
    </w:p>
    <w:p>
      <w:pPr>
        <w:widowControl w:val="0"/>
        <w:ind w:firstLine="482"/>
      </w:pPr>
      <w:r>
        <w:rPr>
          <w:rFonts w:hint="eastAsia"/>
          <w:b/>
          <w:bCs/>
        </w:rPr>
        <w:t xml:space="preserve">第十六条 </w:t>
      </w:r>
      <w:r>
        <w:rPr>
          <w:rFonts w:hint="eastAsia"/>
        </w:rPr>
        <w:t>外单位车辆不得在基地内停放过夜，如有特殊情况需经主要领导批准同意。</w:t>
      </w:r>
    </w:p>
    <w:p>
      <w:pPr>
        <w:widowControl w:val="0"/>
        <w:ind w:firstLine="482"/>
      </w:pPr>
      <w:r>
        <w:rPr>
          <w:rFonts w:hint="eastAsia"/>
          <w:b/>
          <w:bCs/>
        </w:rPr>
        <w:t xml:space="preserve">第十七条 </w:t>
      </w:r>
      <w:r>
        <w:rPr>
          <w:rFonts w:hint="eastAsia"/>
        </w:rPr>
        <w:t>门卫人员要认真及时做好报刊、杂志和信件的收发、登记、保管发放工作，不得遗失，严守秘密。</w:t>
      </w:r>
    </w:p>
    <w:p>
      <w:pPr>
        <w:widowControl w:val="0"/>
        <w:ind w:firstLine="482"/>
      </w:pPr>
      <w:r>
        <w:rPr>
          <w:rFonts w:hint="eastAsia"/>
          <w:b/>
          <w:bCs/>
        </w:rPr>
        <w:t xml:space="preserve">第十八条 </w:t>
      </w:r>
      <w:r>
        <w:rPr>
          <w:rFonts w:hint="eastAsia"/>
        </w:rPr>
        <w:t>值班室门口显眼的位置张贴“进场安全须知告知牌”，进出人员和车辆要进行登记。</w:t>
      </w:r>
    </w:p>
    <w:p>
      <w:pPr>
        <w:widowControl w:val="0"/>
        <w:spacing w:line="240" w:lineRule="auto"/>
        <w:ind w:firstLine="0" w:firstLineChars="0"/>
        <w:jc w:val="left"/>
        <w:rPr>
          <w:b/>
          <w:sz w:val="32"/>
          <w:szCs w:val="22"/>
        </w:rPr>
      </w:pPr>
      <w:r>
        <w:br w:type="page"/>
      </w:r>
    </w:p>
    <w:p>
      <w:pPr>
        <w:pStyle w:val="2"/>
      </w:pPr>
      <w:bookmarkStart w:id="161" w:name="_Toc517516707"/>
      <w:bookmarkStart w:id="162" w:name="_Toc9945"/>
      <w:bookmarkStart w:id="163" w:name="_Toc16110"/>
      <w:r>
        <w:rPr>
          <w:rFonts w:hint="eastAsia"/>
        </w:rPr>
        <w:t>十五、安全标识牌管理制度</w:t>
      </w:r>
      <w:bookmarkEnd w:id="161"/>
      <w:bookmarkEnd w:id="162"/>
      <w:bookmarkEnd w:id="163"/>
    </w:p>
    <w:p>
      <w:pPr>
        <w:widowControl w:val="0"/>
        <w:ind w:firstLine="482"/>
      </w:pPr>
      <w:r>
        <w:rPr>
          <w:rFonts w:hint="eastAsia"/>
          <w:b/>
          <w:bCs/>
        </w:rPr>
        <w:t xml:space="preserve">第一条 </w:t>
      </w:r>
      <w:r>
        <w:rPr>
          <w:rFonts w:hint="eastAsia"/>
        </w:rPr>
        <w:t>为</w:t>
      </w:r>
      <w:r>
        <w:rPr>
          <w:rFonts w:hint="eastAsia" w:ascii="宋体" w:hAnsi="宋体" w:eastAsia="宋体"/>
          <w:bCs/>
        </w:rPr>
        <w:t>了规范苏州中车建设工程有限公司台州市域铁</w:t>
      </w:r>
      <w:r>
        <w:rPr>
          <w:rFonts w:hint="eastAsia"/>
        </w:rPr>
        <w:t>路S1线一期PPP项目工程总承包项目部（以下简称“总承包项目部”）安全标识的管理工作，结合总承包项目部的实际情况，制定本制度。</w:t>
      </w:r>
    </w:p>
    <w:p>
      <w:pPr>
        <w:widowControl w:val="0"/>
        <w:ind w:firstLine="482"/>
      </w:pPr>
      <w:r>
        <w:rPr>
          <w:rFonts w:hint="eastAsia"/>
          <w:b/>
          <w:bCs/>
        </w:rPr>
        <w:t xml:space="preserve">第二条 </w:t>
      </w:r>
      <w:r>
        <w:rPr>
          <w:rFonts w:hint="eastAsia"/>
        </w:rPr>
        <w:t>按照安全生产管理制度和根据现场施工进展情况，在工地现场危险地点和部位挂设醒目、制式规格的安全警示标识牌。</w:t>
      </w:r>
    </w:p>
    <w:p>
      <w:pPr>
        <w:widowControl w:val="0"/>
        <w:ind w:firstLine="482"/>
      </w:pPr>
      <w:r>
        <w:rPr>
          <w:rFonts w:hint="eastAsia"/>
          <w:b/>
          <w:bCs/>
        </w:rPr>
        <w:t xml:space="preserve">第三条 </w:t>
      </w:r>
      <w:r>
        <w:rPr>
          <w:rFonts w:hint="eastAsia"/>
        </w:rPr>
        <w:t>各种安全标志牌由工区项目部根据总承包项目部危大工程清单和危险源辨识结果，对现场的重大危险源按计划提报数量，进行挂牌标识；现场的安全标识牌由办公室统一制作，由工区负责人安排专人现场挂设，安质环保部负责监督管理。</w:t>
      </w:r>
    </w:p>
    <w:p>
      <w:pPr>
        <w:widowControl w:val="0"/>
        <w:ind w:firstLine="482"/>
      </w:pPr>
      <w:r>
        <w:rPr>
          <w:rFonts w:hint="eastAsia"/>
          <w:b/>
          <w:bCs/>
        </w:rPr>
        <w:t xml:space="preserve">第四条 </w:t>
      </w:r>
      <w:r>
        <w:rPr>
          <w:rFonts w:hint="eastAsia"/>
        </w:rPr>
        <w:t>安全标识应按现场安全标识平面图的要求安放在相应位置。安放位置应保证通视良好，安全标识必须保证竖直，不得东倒西歪。无论是采用竖立或悬挂均必须安装牢固，不易倾倒。</w:t>
      </w:r>
    </w:p>
    <w:p>
      <w:pPr>
        <w:widowControl w:val="0"/>
        <w:ind w:firstLine="482"/>
      </w:pPr>
      <w:r>
        <w:rPr>
          <w:rFonts w:hint="eastAsia"/>
          <w:b/>
          <w:bCs/>
        </w:rPr>
        <w:t xml:space="preserve">第五条 </w:t>
      </w:r>
      <w:r>
        <w:rPr>
          <w:rFonts w:hint="eastAsia"/>
        </w:rPr>
        <w:t>现场安全标识牌挂设后，不得随意拆除和移动。如需移动或拆除，须经安质环保部同意。</w:t>
      </w:r>
    </w:p>
    <w:p>
      <w:pPr>
        <w:widowControl w:val="0"/>
        <w:ind w:firstLine="482"/>
      </w:pPr>
      <w:r>
        <w:rPr>
          <w:rFonts w:hint="eastAsia"/>
          <w:b/>
          <w:bCs/>
        </w:rPr>
        <w:t xml:space="preserve">第六条 </w:t>
      </w:r>
      <w:r>
        <w:rPr>
          <w:rFonts w:hint="eastAsia"/>
        </w:rPr>
        <w:t>对现场所设各种安全警示标识牌，现场作业班组按安质环保部指示派专人负责妥善管理、保护和合理使用，并经常使之保持整洁和完好。</w:t>
      </w:r>
    </w:p>
    <w:p>
      <w:pPr>
        <w:widowControl w:val="0"/>
        <w:ind w:firstLine="482"/>
      </w:pPr>
      <w:r>
        <w:rPr>
          <w:rFonts w:hint="eastAsia"/>
          <w:b/>
          <w:bCs/>
        </w:rPr>
        <w:t xml:space="preserve">第七条 </w:t>
      </w:r>
      <w:r>
        <w:rPr>
          <w:rFonts w:hint="eastAsia"/>
        </w:rPr>
        <w:t>各种安全标识牌挂设后，工区项目部应认真填表登记并绘制安全标识牌设置位置简图。</w:t>
      </w:r>
    </w:p>
    <w:p>
      <w:pPr>
        <w:widowControl w:val="0"/>
        <w:spacing w:line="240" w:lineRule="auto"/>
        <w:ind w:firstLine="0" w:firstLineChars="0"/>
        <w:jc w:val="left"/>
        <w:rPr>
          <w:b/>
          <w:sz w:val="32"/>
          <w:szCs w:val="22"/>
        </w:rPr>
      </w:pPr>
    </w:p>
    <w:p>
      <w:pPr>
        <w:widowControl w:val="0"/>
        <w:spacing w:line="240" w:lineRule="auto"/>
        <w:ind w:firstLine="0" w:firstLineChars="0"/>
        <w:jc w:val="left"/>
        <w:rPr>
          <w:b/>
          <w:sz w:val="32"/>
          <w:szCs w:val="22"/>
        </w:rPr>
        <w:sectPr>
          <w:pgSz w:w="11906" w:h="16838"/>
          <w:pgMar w:top="1440" w:right="1797" w:bottom="1440" w:left="1797" w:header="851" w:footer="992" w:gutter="0"/>
          <w:cols w:space="425" w:num="1"/>
          <w:docGrid w:type="lines" w:linePitch="312" w:charSpace="0"/>
        </w:sectPr>
      </w:pPr>
    </w:p>
    <w:p>
      <w:pPr>
        <w:pStyle w:val="2"/>
      </w:pPr>
      <w:bookmarkStart w:id="164" w:name="_Toc32643"/>
      <w:r>
        <w:rPr>
          <w:rFonts w:hint="eastAsia"/>
        </w:rPr>
        <w:t>十六、安全生产文件资料管理制度</w:t>
      </w:r>
      <w:bookmarkEnd w:id="164"/>
    </w:p>
    <w:p>
      <w:pPr>
        <w:pStyle w:val="3"/>
        <w:widowControl w:val="0"/>
      </w:pPr>
      <w:r>
        <w:t>第一章</w:t>
      </w:r>
      <w:r>
        <w:rPr>
          <w:rFonts w:hint="eastAsia"/>
        </w:rPr>
        <w:t xml:space="preserve"> </w:t>
      </w:r>
      <w:r>
        <w:t>总则</w:t>
      </w:r>
    </w:p>
    <w:p>
      <w:pPr>
        <w:widowControl w:val="0"/>
        <w:ind w:firstLine="482"/>
      </w:pPr>
      <w:r>
        <w:rPr>
          <w:rFonts w:hint="eastAsia"/>
          <w:b/>
        </w:rPr>
        <w:t>第一条</w:t>
      </w:r>
      <w:r>
        <w:rPr>
          <w:rFonts w:hint="eastAsia"/>
        </w:rPr>
        <w:t xml:space="preserve"> 根据《市政工程施工安全检查标准》（C</w:t>
      </w:r>
      <w:r>
        <w:t>JJ</w:t>
      </w:r>
      <w:r>
        <w:rPr>
          <w:rFonts w:hint="eastAsia"/>
        </w:rPr>
        <w:t>/</w:t>
      </w:r>
      <w:r>
        <w:t>T275-2018</w:t>
      </w:r>
      <w:r>
        <w:rPr>
          <w:rFonts w:hint="eastAsia"/>
        </w:rPr>
        <w:t>）、《浙江省市政基础设施施工现场安全生产文明施工管理台账》（建建发[2017]162号），为切实加强对台州</w:t>
      </w:r>
      <w:r>
        <w:t>市域铁路</w:t>
      </w:r>
      <w:r>
        <w:rPr>
          <w:rFonts w:hint="eastAsia"/>
        </w:rPr>
        <w:t>S1线PPP项目工程总承包项目部（以下简称“总承包项目部”）安全生产文件资料管理，实现安全生产文明施工标准化目标，特制定本制度。</w:t>
      </w:r>
    </w:p>
    <w:p>
      <w:pPr>
        <w:widowControl w:val="0"/>
        <w:ind w:firstLine="482"/>
      </w:pPr>
      <w:r>
        <w:rPr>
          <w:rFonts w:hint="eastAsia"/>
          <w:b/>
        </w:rPr>
        <w:t>第二条</w:t>
      </w:r>
      <w:r>
        <w:rPr>
          <w:rFonts w:hint="eastAsia"/>
        </w:rPr>
        <w:t xml:space="preserve"> 本制度适用总承包项目部所属各</w:t>
      </w:r>
      <w:r>
        <w:t>工区</w:t>
      </w:r>
      <w:r>
        <w:rPr>
          <w:rFonts w:hint="eastAsia"/>
        </w:rPr>
        <w:t>，安全生产文件资料管理应符合本制度要求，当浙江省、</w:t>
      </w:r>
      <w:r>
        <w:t>台州市</w:t>
      </w:r>
      <w:r>
        <w:rPr>
          <w:rFonts w:hint="eastAsia"/>
        </w:rPr>
        <w:t>地方、行业主管部门另有规定时，应同时执行。</w:t>
      </w:r>
    </w:p>
    <w:p>
      <w:pPr>
        <w:pStyle w:val="3"/>
        <w:widowControl w:val="0"/>
      </w:pPr>
      <w:r>
        <w:rPr>
          <w:rFonts w:hint="eastAsia"/>
        </w:rPr>
        <w:t>第二章 基本规定</w:t>
      </w:r>
    </w:p>
    <w:p>
      <w:pPr>
        <w:widowControl w:val="0"/>
        <w:ind w:firstLine="482"/>
      </w:pPr>
      <w:r>
        <w:rPr>
          <w:rFonts w:hint="eastAsia"/>
          <w:b/>
        </w:rPr>
        <w:t>第三条</w:t>
      </w:r>
      <w:r>
        <w:rPr>
          <w:rFonts w:hint="eastAsia"/>
        </w:rPr>
        <w:t xml:space="preserve"> 本制度所称安全生产文件资料主要包括安全管理（安全</w:t>
      </w:r>
      <w:r>
        <w:t>管理基本情况、</w:t>
      </w:r>
      <w:r>
        <w:rPr>
          <w:rFonts w:hint="eastAsia"/>
        </w:rPr>
        <w:t>安全规章制度</w:t>
      </w:r>
      <w:r>
        <w:t>、施工组织设计、</w:t>
      </w:r>
      <w:r>
        <w:rPr>
          <w:rFonts w:hint="eastAsia"/>
        </w:rPr>
        <w:t>各类</w:t>
      </w:r>
      <w:r>
        <w:t>专项</w:t>
      </w:r>
      <w:r>
        <w:rPr>
          <w:rFonts w:hint="eastAsia"/>
        </w:rPr>
        <w:t>施工</w:t>
      </w:r>
      <w:r>
        <w:t>方案、</w:t>
      </w:r>
      <w:r>
        <w:rPr>
          <w:rFonts w:hint="eastAsia"/>
        </w:rPr>
        <w:t>安全教育</w:t>
      </w:r>
      <w:r>
        <w:t>与</w:t>
      </w:r>
      <w:r>
        <w:rPr>
          <w:rFonts w:hint="eastAsia"/>
        </w:rPr>
        <w:t>交底、</w:t>
      </w:r>
      <w:r>
        <w:t>安全活动等</w:t>
      </w:r>
      <w:r>
        <w:rPr>
          <w:rFonts w:hint="eastAsia"/>
        </w:rPr>
        <w:t>）、消防管理、安全检查与验收（扣件式钢管脚手架、门式钢管脚手架、碗扣式钢管脚手架、承插型盘扣式钢管脚手架、满堂脚手架、悬挑式脚手架、附着式升降脚手架、高处作业吊篮、基坑工程、模板支架、高处作业、施工用电）、施工机械（物料提升机、施工升降机、塔式起重机、起重吊装、施工机具）、文明施工、绿色施工等6</w:t>
      </w:r>
      <w:r>
        <w:t>大类、</w:t>
      </w:r>
      <w:r>
        <w:rPr>
          <w:rFonts w:hint="eastAsia"/>
        </w:rPr>
        <w:t>35项</w:t>
      </w:r>
      <w:r>
        <w:t>、</w:t>
      </w:r>
      <w:r>
        <w:rPr>
          <w:rFonts w:hint="eastAsia"/>
        </w:rPr>
        <w:t>201小项（具体内容按照《浙江省市政基础设施施工现场安全生产文明施工管理台账》规定的</w:t>
      </w:r>
      <w:r>
        <w:t>内容执行，</w:t>
      </w:r>
      <w:r>
        <w:rPr>
          <w:rFonts w:hint="eastAsia"/>
        </w:rPr>
        <w:t>包括</w:t>
      </w:r>
      <w:r>
        <w:t>但不限于</w:t>
      </w:r>
      <w:r>
        <w:rPr>
          <w:rFonts w:hint="eastAsia"/>
        </w:rPr>
        <w:t>）。</w:t>
      </w:r>
    </w:p>
    <w:p>
      <w:pPr>
        <w:widowControl w:val="0"/>
        <w:ind w:firstLine="482"/>
      </w:pPr>
      <w:r>
        <w:rPr>
          <w:rFonts w:hint="eastAsia"/>
          <w:b/>
        </w:rPr>
        <w:t>第四条</w:t>
      </w:r>
      <w:r>
        <w:rPr>
          <w:rFonts w:hint="eastAsia"/>
        </w:rPr>
        <w:t xml:space="preserve"> 安全生产文件资料管理工作应当坚持“实事求是、真实可靠、集中保管”的原则。安全生产文件资料归档内容应当遵守相关法律规范规定。</w:t>
      </w:r>
    </w:p>
    <w:p>
      <w:pPr>
        <w:widowControl w:val="0"/>
        <w:ind w:firstLine="482"/>
      </w:pPr>
      <w:r>
        <w:rPr>
          <w:rFonts w:hint="eastAsia"/>
          <w:b/>
        </w:rPr>
        <w:t>第五条</w:t>
      </w:r>
      <w:r>
        <w:rPr>
          <w:rFonts w:hint="eastAsia"/>
        </w:rPr>
        <w:t xml:space="preserve"> 安全生产文件资料必须由专职人员</w:t>
      </w:r>
      <w:r>
        <w:t>负责</w:t>
      </w:r>
      <w:r>
        <w:rPr>
          <w:rFonts w:hint="eastAsia"/>
        </w:rPr>
        <w:t>管理。</w:t>
      </w:r>
    </w:p>
    <w:p>
      <w:pPr>
        <w:widowControl w:val="0"/>
        <w:ind w:firstLine="482"/>
      </w:pPr>
      <w:r>
        <w:rPr>
          <w:rFonts w:hint="eastAsia"/>
          <w:b/>
        </w:rPr>
        <w:t>第六条</w:t>
      </w:r>
      <w:r>
        <w:rPr>
          <w:rFonts w:hint="eastAsia"/>
        </w:rPr>
        <w:t xml:space="preserve"> 各工区应按要求做好安全管理资料收集</w:t>
      </w:r>
      <w:r>
        <w:t>、整理、归档</w:t>
      </w:r>
      <w:r>
        <w:rPr>
          <w:rFonts w:hint="eastAsia"/>
        </w:rPr>
        <w:t>，在施工过程中实行动态管理，根据安全生产文件资料情况变化及时调整、更新。</w:t>
      </w:r>
    </w:p>
    <w:p>
      <w:pPr>
        <w:pStyle w:val="3"/>
      </w:pPr>
      <w:r>
        <w:rPr>
          <w:rFonts w:hint="eastAsia"/>
        </w:rPr>
        <w:t>第三章 职责</w:t>
      </w:r>
    </w:p>
    <w:p>
      <w:pPr>
        <w:widowControl w:val="0"/>
        <w:ind w:firstLine="482"/>
      </w:pPr>
      <w:r>
        <w:rPr>
          <w:rFonts w:hint="eastAsia"/>
          <w:b/>
        </w:rPr>
        <w:t>第七条</w:t>
      </w:r>
      <w:r>
        <w:rPr>
          <w:rFonts w:hint="eastAsia"/>
        </w:rPr>
        <w:t xml:space="preserve"> 总承包项目部</w:t>
      </w:r>
    </w:p>
    <w:p>
      <w:pPr>
        <w:widowControl w:val="0"/>
        <w:ind w:firstLine="480"/>
      </w:pPr>
      <w:r>
        <w:rPr>
          <w:rFonts w:hint="eastAsia"/>
        </w:rPr>
        <w:t>（一）负责项目安全生产文件资料的监督管理工作。</w:t>
      </w:r>
    </w:p>
    <w:p>
      <w:pPr>
        <w:widowControl w:val="0"/>
        <w:ind w:firstLine="480"/>
      </w:pPr>
      <w:r>
        <w:rPr>
          <w:rFonts w:hint="eastAsia"/>
        </w:rPr>
        <w:t>（二）每月对特种安全生产文件资料管理情况进行监督检查，检查评分依据</w:t>
      </w:r>
      <w:r>
        <w:t>为</w:t>
      </w:r>
      <w:r>
        <w:rPr>
          <w:rFonts w:hint="eastAsia"/>
        </w:rPr>
        <w:t>《市政工程施工安全检查标准》（CJJ/T275-2018），</w:t>
      </w:r>
      <w:r>
        <w:t>同时参照</w:t>
      </w:r>
      <w:r>
        <w:rPr>
          <w:rFonts w:hint="eastAsia"/>
        </w:rPr>
        <w:t>《浙江省市政基础设施施工现场安全生产文明施工管理台账》（建建发【2017】162号），</w:t>
      </w:r>
      <w:r>
        <w:t>并形成检查记录</w:t>
      </w:r>
      <w:r>
        <w:rPr>
          <w:rFonts w:hint="eastAsia"/>
        </w:rPr>
        <w:t>。</w:t>
      </w:r>
    </w:p>
    <w:p>
      <w:pPr>
        <w:widowControl w:val="0"/>
        <w:ind w:firstLine="480"/>
      </w:pPr>
      <w:r>
        <w:rPr>
          <w:rFonts w:hint="eastAsia"/>
        </w:rPr>
        <w:t>（三）检查中发现工区安全生产文件资料管理有下列情况的，应立即下发通知，</w:t>
      </w:r>
      <w:r>
        <w:t>限期整改</w:t>
      </w:r>
      <w:r>
        <w:rPr>
          <w:rFonts w:hint="eastAsia"/>
        </w:rPr>
        <w:t>。</w:t>
      </w:r>
    </w:p>
    <w:p>
      <w:pPr>
        <w:widowControl w:val="0"/>
        <w:ind w:firstLine="480"/>
      </w:pPr>
      <w:r>
        <w:t>a</w:t>
      </w:r>
      <w:r>
        <w:rPr>
          <w:rFonts w:hint="eastAsia"/>
        </w:rPr>
        <w:t>、未按要求编制</w:t>
      </w:r>
      <w:r>
        <w:t>、填写、</w:t>
      </w:r>
      <w:r>
        <w:rPr>
          <w:rFonts w:hint="eastAsia"/>
        </w:rPr>
        <w:t>收集</w:t>
      </w:r>
      <w:r>
        <w:t>、整理、归档</w:t>
      </w:r>
      <w:r>
        <w:rPr>
          <w:rFonts w:hint="eastAsia"/>
        </w:rPr>
        <w:t>安全生产文件资料的，或者资料内容存在缺失、伪造、涂改现象的；</w:t>
      </w:r>
    </w:p>
    <w:p>
      <w:pPr>
        <w:widowControl w:val="0"/>
        <w:ind w:firstLine="480"/>
      </w:pPr>
      <w:r>
        <w:rPr>
          <w:rFonts w:hint="eastAsia"/>
        </w:rPr>
        <w:t>b、未按照要求配备专职安全生产文件资料管理人员的；</w:t>
      </w:r>
    </w:p>
    <w:p>
      <w:pPr>
        <w:widowControl w:val="0"/>
        <w:ind w:firstLine="480"/>
      </w:pPr>
      <w:r>
        <w:t>c</w:t>
      </w:r>
      <w:r>
        <w:rPr>
          <w:rFonts w:hint="eastAsia"/>
        </w:rPr>
        <w:t>、对检查人员提出的整改要求不认真履行整改义务的；</w:t>
      </w:r>
    </w:p>
    <w:p>
      <w:pPr>
        <w:widowControl w:val="0"/>
        <w:ind w:firstLine="480"/>
      </w:pPr>
      <w:r>
        <w:rPr>
          <w:rFonts w:hint="eastAsia"/>
        </w:rPr>
        <w:t>d、有其他违法违规行为的。</w:t>
      </w:r>
    </w:p>
    <w:p>
      <w:pPr>
        <w:widowControl w:val="0"/>
        <w:ind w:firstLine="482"/>
      </w:pPr>
      <w:r>
        <w:rPr>
          <w:rFonts w:hint="eastAsia"/>
          <w:b/>
        </w:rPr>
        <w:t>第八条</w:t>
      </w:r>
      <w:r>
        <w:rPr>
          <w:rFonts w:hint="eastAsia"/>
        </w:rPr>
        <w:t xml:space="preserve"> 工区项目部</w:t>
      </w:r>
    </w:p>
    <w:p>
      <w:pPr>
        <w:widowControl w:val="0"/>
        <w:ind w:firstLine="480"/>
      </w:pPr>
      <w:r>
        <w:rPr>
          <w:rFonts w:hint="eastAsia"/>
        </w:rPr>
        <w:t>（一）内业管理资料的整理、归档应按《浙江省市政基础设施施工现场安全生产文明施工管理台账》中的项目名称顺序排列。</w:t>
      </w:r>
    </w:p>
    <w:p>
      <w:pPr>
        <w:widowControl w:val="0"/>
        <w:ind w:firstLine="480"/>
      </w:pPr>
      <w:r>
        <w:rPr>
          <w:rFonts w:hint="eastAsia"/>
        </w:rPr>
        <w:t>（二）按各种表格、文字材料的填写要及时、真实，不可敷衍了事，更不允许弄虚作假。</w:t>
      </w:r>
    </w:p>
    <w:p>
      <w:pPr>
        <w:widowControl w:val="0"/>
        <w:ind w:firstLine="480"/>
      </w:pPr>
      <w:r>
        <w:rPr>
          <w:rFonts w:hint="eastAsia"/>
        </w:rPr>
        <w:t>（三）资料应做到由专人填写、专人保管，书写字迹应端正、不潦草，不乱涂乱改、不缺页污损。安全技术管理资料在建立时，必须统一采用A4纸张打印或复印。</w:t>
      </w:r>
    </w:p>
    <w:p>
      <w:pPr>
        <w:widowControl w:val="0"/>
        <w:ind w:firstLine="480"/>
      </w:pPr>
      <w:r>
        <w:rPr>
          <w:rFonts w:hint="eastAsia"/>
        </w:rPr>
        <w:t>（四）配备专职安全生产文件资料管理员</w:t>
      </w:r>
      <w:r>
        <w:t>1</w:t>
      </w:r>
      <w:r>
        <w:rPr>
          <w:rFonts w:hint="eastAsia"/>
        </w:rPr>
        <w:t>名。</w:t>
      </w:r>
    </w:p>
    <w:p>
      <w:pPr>
        <w:widowControl w:val="0"/>
        <w:ind w:firstLine="480"/>
      </w:pPr>
      <w:r>
        <w:rPr>
          <w:rFonts w:hint="eastAsia"/>
        </w:rPr>
        <w:t>（五）各工区安全生产文件资料档案盒应统一封面样式（封面样式见附图1）。</w:t>
      </w:r>
    </w:p>
    <w:p>
      <w:pPr>
        <w:pStyle w:val="3"/>
        <w:widowControl w:val="0"/>
      </w:pPr>
      <w:r>
        <w:rPr>
          <w:rFonts w:hint="eastAsia"/>
        </w:rPr>
        <w:t>第四章 罚则</w:t>
      </w:r>
    </w:p>
    <w:p>
      <w:pPr>
        <w:widowControl w:val="0"/>
        <w:ind w:firstLine="482"/>
      </w:pPr>
      <w:r>
        <w:rPr>
          <w:rFonts w:hint="eastAsia"/>
          <w:b/>
        </w:rPr>
        <w:t>第九条</w:t>
      </w:r>
      <w:r>
        <w:rPr>
          <w:rFonts w:hint="eastAsia"/>
        </w:rPr>
        <w:t xml:space="preserve"> 安全生产文件资料管理过程出现违规而造成经营生产损失时，</w:t>
      </w:r>
      <w:r>
        <w:t>按《</w:t>
      </w:r>
      <w:r>
        <w:rPr>
          <w:rFonts w:hint="eastAsia"/>
        </w:rPr>
        <w:t>市政工程施工安全检查标准</w:t>
      </w:r>
      <w:r>
        <w:t>》</w:t>
      </w:r>
      <w:r>
        <w:rPr>
          <w:rFonts w:hint="eastAsia"/>
        </w:rPr>
        <w:t>、</w:t>
      </w:r>
      <w:r>
        <w:t>《</w:t>
      </w:r>
      <w:r>
        <w:rPr>
          <w:rFonts w:hint="eastAsia"/>
        </w:rPr>
        <w:t>安全质量文明施工违约处罚实施细则</w:t>
      </w:r>
      <w:r>
        <w:t>》</w:t>
      </w:r>
      <w:r>
        <w:rPr>
          <w:rFonts w:hint="eastAsia"/>
        </w:rPr>
        <w:t>有关规定</w:t>
      </w:r>
      <w:r>
        <w:t>进行</w:t>
      </w:r>
      <w:r>
        <w:rPr>
          <w:rFonts w:hint="eastAsia"/>
        </w:rPr>
        <w:t>责任追究和</w:t>
      </w:r>
      <w:r>
        <w:t>处罚</w:t>
      </w:r>
      <w:r>
        <w:rPr>
          <w:rFonts w:hint="eastAsia"/>
        </w:rPr>
        <w:t>。</w:t>
      </w:r>
    </w:p>
    <w:p>
      <w:pPr>
        <w:widowControl w:val="0"/>
        <w:ind w:firstLine="482"/>
      </w:pPr>
      <w:r>
        <w:rPr>
          <w:rFonts w:hint="eastAsia"/>
          <w:b/>
        </w:rPr>
        <w:t>第十条</w:t>
      </w:r>
      <w:r>
        <w:rPr>
          <w:rFonts w:hint="eastAsia"/>
        </w:rPr>
        <w:t xml:space="preserve"> 工区因安全生产文件资料管理存在问题时，纳入工区月度</w:t>
      </w:r>
      <w:r>
        <w:t>、</w:t>
      </w:r>
      <w:r>
        <w:rPr>
          <w:rFonts w:hint="eastAsia"/>
        </w:rPr>
        <w:t>季度施工技术管理考评，同时列入总承包项目部对工区月度综合</w:t>
      </w:r>
      <w:r>
        <w:t>评比</w:t>
      </w:r>
      <w:r>
        <w:rPr>
          <w:rFonts w:hint="eastAsia"/>
        </w:rPr>
        <w:t>考核。</w:t>
      </w:r>
    </w:p>
    <w:p>
      <w:pPr>
        <w:widowControl w:val="0"/>
        <w:ind w:firstLine="480"/>
      </w:pPr>
    </w:p>
    <w:p>
      <w:pPr>
        <w:widowControl w:val="0"/>
        <w:ind w:firstLine="480"/>
        <w:sectPr>
          <w:footerReference r:id="rId16" w:type="default"/>
          <w:pgSz w:w="11906" w:h="16838"/>
          <w:pgMar w:top="2098" w:right="1474" w:bottom="1985" w:left="1588" w:header="851" w:footer="992" w:gutter="0"/>
          <w:cols w:space="425" w:num="1"/>
          <w:docGrid w:type="lines" w:linePitch="312" w:charSpace="0"/>
        </w:sectPr>
      </w:pPr>
      <w:r>
        <w:rPr>
          <w:rFonts w:hint="eastAsia"/>
        </w:rPr>
        <w:t>附图1：安全生产文件资料档案盒应统一封面样式</w:t>
      </w:r>
    </w:p>
    <w:p>
      <w:pPr>
        <w:widowControl w:val="0"/>
        <w:ind w:firstLine="0" w:firstLineChars="0"/>
        <w:jc w:val="left"/>
        <w:rPr>
          <w:rFonts w:ascii="宋体" w:hAnsi="宋体" w:eastAsia="宋体" w:cs="Calibri"/>
          <w:b/>
          <w:bCs/>
          <w:szCs w:val="21"/>
        </w:rPr>
      </w:pPr>
      <w:r>
        <w:rPr>
          <w:rFonts w:ascii="宋体" w:hAnsi="宋体" w:eastAsia="宋体" w:cs="Calibri"/>
          <w:b/>
          <w:bCs/>
          <w:szCs w:val="21"/>
        </w:rPr>
        <w:t>附图</w:t>
      </w:r>
      <w:r>
        <w:rPr>
          <w:rFonts w:hint="eastAsia" w:ascii="宋体" w:hAnsi="宋体" w:eastAsia="宋体" w:cs="Calibri"/>
          <w:b/>
          <w:bCs/>
          <w:szCs w:val="21"/>
        </w:rPr>
        <w:t>1</w:t>
      </w:r>
    </w:p>
    <w:p>
      <w:pPr>
        <w:widowControl w:val="0"/>
        <w:ind w:firstLine="480"/>
        <w:sectPr>
          <w:pgSz w:w="11906" w:h="16838"/>
          <w:pgMar w:top="2098" w:right="1474" w:bottom="1985" w:left="1588" w:header="851" w:footer="992" w:gutter="0"/>
          <w:cols w:space="425" w:num="1"/>
          <w:docGrid w:type="lines" w:linePitch="312" w:charSpace="0"/>
        </w:sectPr>
      </w:pPr>
      <w:r>
        <w:rPr>
          <w:rFonts w:ascii="仿宋_GB2312" w:eastAsia="仿宋_GB2312"/>
        </w:rPr>
        <w:drawing>
          <wp:inline distT="0" distB="0" distL="0" distR="0">
            <wp:extent cx="5278120" cy="7347585"/>
            <wp:effectExtent l="0" t="0" r="17780" b="5715"/>
            <wp:docPr id="1" name="图片 1" descr="资料盒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资料盒样式"/>
                    <pic:cNvPicPr>
                      <a:picLocks noChangeAspect="1" noChangeArrowheads="1"/>
                    </pic:cNvPicPr>
                  </pic:nvPicPr>
                  <pic:blipFill>
                    <a:blip r:embed="rId29" cstate="print"/>
                    <a:srcRect/>
                    <a:stretch>
                      <a:fillRect/>
                    </a:stretch>
                  </pic:blipFill>
                  <pic:spPr>
                    <a:xfrm>
                      <a:off x="0" y="0"/>
                      <a:ext cx="5278120" cy="7348147"/>
                    </a:xfrm>
                    <a:prstGeom prst="rect">
                      <a:avLst/>
                    </a:prstGeom>
                    <a:noFill/>
                    <a:ln w="9525">
                      <a:noFill/>
                      <a:miter lim="800000"/>
                      <a:headEnd/>
                      <a:tailEnd/>
                    </a:ln>
                  </pic:spPr>
                </pic:pic>
              </a:graphicData>
            </a:graphic>
          </wp:inline>
        </w:drawing>
      </w:r>
    </w:p>
    <w:p>
      <w:pPr>
        <w:pStyle w:val="2"/>
      </w:pPr>
      <w:bookmarkStart w:id="165" w:name="_Toc5007"/>
      <w:bookmarkStart w:id="166" w:name="_Hlk524966526"/>
      <w:r>
        <w:rPr>
          <w:rFonts w:hint="eastAsia"/>
        </w:rPr>
        <w:t>十七、安全专项施工方案管理制度</w:t>
      </w:r>
      <w:bookmarkEnd w:id="165"/>
    </w:p>
    <w:p>
      <w:pPr>
        <w:pStyle w:val="3"/>
        <w:widowControl w:val="0"/>
      </w:pPr>
      <w:r>
        <w:rPr>
          <w:rFonts w:hint="eastAsia"/>
        </w:rPr>
        <w:t>第一章 总则</w:t>
      </w:r>
    </w:p>
    <w:p>
      <w:pPr>
        <w:widowControl w:val="0"/>
        <w:ind w:firstLine="482"/>
      </w:pPr>
      <w:r>
        <w:rPr>
          <w:rFonts w:hint="eastAsia"/>
          <w:b/>
        </w:rPr>
        <w:t>第一条</w:t>
      </w:r>
      <w:r>
        <w:rPr>
          <w:rFonts w:hint="eastAsia"/>
        </w:rPr>
        <w:t xml:space="preserve"> 根据苏州中车建设工程有限公司台州市域铁路S1线一期PPP项目工程总承包项目部（以下简称“总承包项目部”）工程</w:t>
      </w:r>
      <w:r>
        <w:rPr>
          <w:rFonts w:hint="eastAsia"/>
          <w:color w:val="000000" w:themeColor="text1"/>
          <w14:textFill>
            <w14:solidFill>
              <w14:schemeClr w14:val="tx1"/>
            </w14:solidFill>
          </w14:textFill>
        </w:rPr>
        <w:t>设计原则</w:t>
      </w:r>
      <w:r>
        <w:rPr>
          <w:rFonts w:hint="eastAsia"/>
        </w:rPr>
        <w:t>及施组总方案，针对危险性较大的分部、分项工程编制安全专项施工方案（以下简称专项方案），预防施工安全事故，保障人身和财产安全。</w:t>
      </w:r>
    </w:p>
    <w:p>
      <w:pPr>
        <w:widowControl w:val="0"/>
        <w:ind w:firstLine="482"/>
      </w:pPr>
      <w:r>
        <w:rPr>
          <w:rFonts w:hint="eastAsia"/>
          <w:b/>
        </w:rPr>
        <w:t>第二条</w:t>
      </w:r>
      <w:r>
        <w:rPr>
          <w:rFonts w:hint="eastAsia"/>
        </w:rPr>
        <w:t xml:space="preserve"> 根据国务院《建设工程安全生产管理条例》、关于实施《危险性较大的分部分项工程安全管理规定》有关问题的通知（建办质[2018]31号）；《危险性较大的分部分项工程安全管理规定》（住建部37号令）；关于进一步加强《危险性较大分部分项工程安全管理》的通知（建办质[2017]39号）；《浙江省公路水运危险性较大分部分项工程安全专项施工方案管理办法》等有关法律、法规、规章，为明确专项方案的内容，规范本项目对专项方案的编制、审批程序和管理行为，特制定本制度。</w:t>
      </w:r>
    </w:p>
    <w:p>
      <w:pPr>
        <w:widowControl w:val="0"/>
        <w:ind w:firstLine="482"/>
      </w:pPr>
      <w:r>
        <w:rPr>
          <w:rFonts w:hint="eastAsia"/>
          <w:b/>
        </w:rPr>
        <w:t>第三条</w:t>
      </w:r>
      <w:r>
        <w:rPr>
          <w:rFonts w:hint="eastAsia"/>
        </w:rPr>
        <w:t xml:space="preserve"> 本制度适用总承包项目部所属各</w:t>
      </w:r>
      <w:r>
        <w:t>工区</w:t>
      </w:r>
      <w:r>
        <w:rPr>
          <w:rFonts w:hint="eastAsia"/>
        </w:rPr>
        <w:t>，专项方案的编制、审批、实施、检查等各项工作均应符合本制度要求，当浙江省、</w:t>
      </w:r>
      <w:r>
        <w:t>台州市</w:t>
      </w:r>
      <w:r>
        <w:rPr>
          <w:rFonts w:hint="eastAsia"/>
        </w:rPr>
        <w:t>地方或行业主管部门另有规定时，应同时执行。</w:t>
      </w:r>
    </w:p>
    <w:p>
      <w:pPr>
        <w:pStyle w:val="3"/>
        <w:widowControl w:val="0"/>
      </w:pPr>
      <w:r>
        <w:rPr>
          <w:rFonts w:hint="eastAsia"/>
        </w:rPr>
        <w:t>第二章 基本规定</w:t>
      </w:r>
    </w:p>
    <w:p>
      <w:pPr>
        <w:widowControl w:val="0"/>
        <w:ind w:firstLine="482"/>
      </w:pPr>
      <w:r>
        <w:rPr>
          <w:b/>
        </w:rPr>
        <w:t>第四条</w:t>
      </w:r>
      <w:r>
        <w:rPr>
          <w:rFonts w:hint="eastAsia"/>
        </w:rPr>
        <w:t xml:space="preserve"> </w:t>
      </w:r>
      <w:r>
        <w:t>专项施工方案应当由总承包单位组织编制</w:t>
      </w:r>
      <w:r>
        <w:rPr>
          <w:rFonts w:hint="eastAsia"/>
        </w:rPr>
        <w:t>，危险性较大分部分项工程以及超过一定规模的危险性较大的分部分项工程范围必须符合《关于实施</w:t>
      </w:r>
      <w:r>
        <w:t>&lt;</w:t>
      </w:r>
      <w:r>
        <w:rPr>
          <w:rFonts w:hint="eastAsia"/>
        </w:rPr>
        <w:t>危险性较大的分部分项工程安全管理规定&gt;有关问题的通知》（建办质[</w:t>
      </w:r>
      <w:r>
        <w:t>2018]</w:t>
      </w:r>
      <w:r>
        <w:rPr>
          <w:rFonts w:hint="eastAsia"/>
        </w:rPr>
        <w:t>31号）、《浙江省公路水运危险性较大分部分项工程安全专项施工方案管理办法》中相关规定，对于超过一定规模的危险性较大分部分项工程，总承包应当组织专家对专项方案进行论证。</w:t>
      </w:r>
    </w:p>
    <w:p>
      <w:pPr>
        <w:widowControl w:val="0"/>
        <w:ind w:firstLine="482"/>
      </w:pPr>
      <w:r>
        <w:rPr>
          <w:rFonts w:hint="eastAsia"/>
          <w:b/>
        </w:rPr>
        <w:t>第五条</w:t>
      </w:r>
      <w:r>
        <w:rPr>
          <w:rFonts w:hint="eastAsia"/>
        </w:rPr>
        <w:t xml:space="preserve"> 专项方案应在相关工程开工前规定的时限内由总承包项目部总工程师组织编制成稿报批；台中公司另有要求的，从其规定；未编制专项方案，或方案未按规定程序获批的工程不得开工。</w:t>
      </w:r>
    </w:p>
    <w:p>
      <w:pPr>
        <w:widowControl w:val="0"/>
        <w:ind w:firstLine="482"/>
      </w:pPr>
      <w:r>
        <w:rPr>
          <w:rFonts w:hint="eastAsia"/>
          <w:b/>
        </w:rPr>
        <w:t>第六条</w:t>
      </w:r>
      <w:r>
        <w:rPr>
          <w:rFonts w:hint="eastAsia"/>
        </w:rPr>
        <w:t xml:space="preserve"> 在项目正式开工前制定专项方案编制、审批计划，形成《危大</w:t>
      </w:r>
      <w:r>
        <w:t>工程清单</w:t>
      </w:r>
      <w:r>
        <w:rPr>
          <w:rFonts w:hint="eastAsia"/>
        </w:rPr>
        <w:t>》（见附件1）、《项目专项施工方案编制审批计划表》（见附件2）。</w:t>
      </w:r>
    </w:p>
    <w:p>
      <w:pPr>
        <w:widowControl w:val="0"/>
        <w:ind w:firstLine="482"/>
      </w:pPr>
      <w:r>
        <w:rPr>
          <w:rFonts w:hint="eastAsia"/>
          <w:b/>
        </w:rPr>
        <w:t>第七条</w:t>
      </w:r>
      <w:r>
        <w:rPr>
          <w:rFonts w:hint="eastAsia"/>
        </w:rPr>
        <w:t xml:space="preserve"> 工区项目部、总承包项目部各管理层级应建立《专项施工方案管理台账》（见附件</w:t>
      </w:r>
      <w:r>
        <w:t>3</w:t>
      </w:r>
      <w:r>
        <w:rPr>
          <w:rFonts w:hint="eastAsia"/>
        </w:rPr>
        <w:t>），在实施过程中实行动态管理，根据情况变化及时调整、报审。</w:t>
      </w:r>
    </w:p>
    <w:p>
      <w:pPr>
        <w:pStyle w:val="3"/>
        <w:widowControl w:val="0"/>
      </w:pPr>
      <w:r>
        <w:rPr>
          <w:rFonts w:hint="eastAsia"/>
        </w:rPr>
        <w:t>第三章 职责</w:t>
      </w:r>
    </w:p>
    <w:p>
      <w:pPr>
        <w:widowControl w:val="0"/>
        <w:ind w:firstLine="482"/>
      </w:pPr>
      <w:r>
        <w:rPr>
          <w:rFonts w:hint="eastAsia"/>
          <w:b/>
        </w:rPr>
        <w:t>第八条</w:t>
      </w:r>
      <w:r>
        <w:rPr>
          <w:rFonts w:hint="eastAsia"/>
        </w:rPr>
        <w:t xml:space="preserve"> 总承包项目部</w:t>
      </w:r>
    </w:p>
    <w:p>
      <w:pPr>
        <w:widowControl w:val="0"/>
        <w:ind w:firstLine="480"/>
      </w:pPr>
      <w:r>
        <w:rPr>
          <w:rFonts w:hint="eastAsia"/>
        </w:rPr>
        <w:t>（一）总承包项目部是专项方案编制、审批的主体；</w:t>
      </w:r>
    </w:p>
    <w:p>
      <w:pPr>
        <w:widowControl w:val="0"/>
        <w:ind w:firstLine="480"/>
      </w:pPr>
      <w:r>
        <w:rPr>
          <w:rFonts w:hint="eastAsia"/>
        </w:rPr>
        <w:t>（二）负责组织专项方案的编制、报批、实施和监督落实；</w:t>
      </w:r>
    </w:p>
    <w:p>
      <w:pPr>
        <w:widowControl w:val="0"/>
        <w:ind w:firstLine="480"/>
      </w:pPr>
      <w:r>
        <w:rPr>
          <w:rFonts w:hint="eastAsia"/>
        </w:rPr>
        <w:t>（三）负责总承包项目部层级专项方案审（核）批，负责提到苏州</w:t>
      </w:r>
      <w:r>
        <w:t>中车</w:t>
      </w:r>
      <w:r>
        <w:rPr>
          <w:rFonts w:hint="eastAsia"/>
        </w:rPr>
        <w:t>层级专项方案审（核）批申请；</w:t>
      </w:r>
    </w:p>
    <w:p>
      <w:pPr>
        <w:widowControl w:val="0"/>
        <w:ind w:firstLine="480"/>
      </w:pPr>
      <w:r>
        <w:rPr>
          <w:rFonts w:hint="eastAsia"/>
        </w:rPr>
        <w:t>（四）组织专项方案专家论证，可申请上级主管部门协调相关专家参加。</w:t>
      </w:r>
    </w:p>
    <w:p>
      <w:pPr>
        <w:widowControl w:val="0"/>
        <w:ind w:firstLine="482"/>
      </w:pPr>
      <w:r>
        <w:rPr>
          <w:rFonts w:hint="eastAsia"/>
          <w:b/>
        </w:rPr>
        <w:t xml:space="preserve">第九条 </w:t>
      </w:r>
      <w:r>
        <w:rPr>
          <w:rFonts w:hint="eastAsia"/>
        </w:rPr>
        <w:t>工程部</w:t>
      </w:r>
    </w:p>
    <w:p>
      <w:pPr>
        <w:widowControl w:val="0"/>
        <w:ind w:firstLine="480"/>
      </w:pPr>
      <w:r>
        <w:rPr>
          <w:rFonts w:hint="eastAsia"/>
        </w:rPr>
        <w:t>（一）工程部为专项方案的归口管理部门。</w:t>
      </w:r>
    </w:p>
    <w:p>
      <w:pPr>
        <w:widowControl w:val="0"/>
        <w:ind w:firstLine="480"/>
      </w:pPr>
      <w:r>
        <w:rPr>
          <w:rFonts w:hint="eastAsia"/>
        </w:rPr>
        <w:t>（二）负责组织相关部门和单位参加土建类（非机电类，下同）专项方案的审核，必要时派专人指导工区专项方案的编制；</w:t>
      </w:r>
    </w:p>
    <w:p>
      <w:pPr>
        <w:widowControl w:val="0"/>
        <w:ind w:firstLine="480"/>
      </w:pPr>
      <w:r>
        <w:rPr>
          <w:rFonts w:hint="eastAsia"/>
        </w:rPr>
        <w:t>（三）发布最终审批的土建类专项方案，并抄送相关部门；</w:t>
      </w:r>
    </w:p>
    <w:p>
      <w:pPr>
        <w:widowControl w:val="0"/>
        <w:ind w:firstLine="480"/>
      </w:pPr>
      <w:r>
        <w:rPr>
          <w:rFonts w:hint="eastAsia"/>
        </w:rPr>
        <w:t>（四）参与机电类专项方案的评审；</w:t>
      </w:r>
    </w:p>
    <w:p>
      <w:pPr>
        <w:widowControl w:val="0"/>
        <w:ind w:firstLine="480"/>
      </w:pPr>
      <w:r>
        <w:rPr>
          <w:rFonts w:hint="eastAsia"/>
        </w:rPr>
        <w:t>（五）根据台中公司、苏州中车、总承包项目部检查安排或本系统需要定期或不定期参与专项方案监督抽查，通报检查落实情况。</w:t>
      </w:r>
    </w:p>
    <w:p>
      <w:pPr>
        <w:widowControl w:val="0"/>
        <w:ind w:firstLine="482"/>
      </w:pPr>
      <w:r>
        <w:rPr>
          <w:rFonts w:hint="eastAsia"/>
          <w:b/>
        </w:rPr>
        <w:t>第十条</w:t>
      </w:r>
      <w:r>
        <w:rPr>
          <w:rFonts w:hint="eastAsia"/>
        </w:rPr>
        <w:t xml:space="preserve"> 机电工程部</w:t>
      </w:r>
    </w:p>
    <w:p>
      <w:pPr>
        <w:widowControl w:val="0"/>
        <w:ind w:firstLine="480"/>
      </w:pPr>
      <w:r>
        <w:rPr>
          <w:rFonts w:hint="eastAsia"/>
        </w:rPr>
        <w:t>（一）机电工程部为机电类（非土建类，下同）专项方案管理主责部门。</w:t>
      </w:r>
    </w:p>
    <w:p>
      <w:pPr>
        <w:widowControl w:val="0"/>
        <w:ind w:firstLine="480"/>
      </w:pPr>
      <w:r>
        <w:rPr>
          <w:rFonts w:hint="eastAsia"/>
        </w:rPr>
        <w:t>（二）负责临时用电、机电设备制造、运输、安装、调试、拆除、装卸等机电类专项方案的评审；</w:t>
      </w:r>
    </w:p>
    <w:p>
      <w:pPr>
        <w:widowControl w:val="0"/>
        <w:ind w:firstLine="480"/>
      </w:pPr>
      <w:r>
        <w:rPr>
          <w:rFonts w:hint="eastAsia"/>
        </w:rPr>
        <w:t>（三）参与土建类专项方案的评审；</w:t>
      </w:r>
    </w:p>
    <w:p>
      <w:pPr>
        <w:widowControl w:val="0"/>
        <w:ind w:firstLine="480"/>
      </w:pPr>
      <w:r>
        <w:rPr>
          <w:rFonts w:hint="eastAsia"/>
        </w:rPr>
        <w:t>（四）发布最终审批的机电类专项方案，并抄送相关部门；</w:t>
      </w:r>
    </w:p>
    <w:p>
      <w:pPr>
        <w:widowControl w:val="0"/>
        <w:ind w:firstLine="480"/>
      </w:pPr>
      <w:r>
        <w:rPr>
          <w:rFonts w:hint="eastAsia"/>
        </w:rPr>
        <w:t>（五）根据台中公司、苏州中车、总承包项目部检查安排或本系统需要，定期或不定期参与专项方案监督抽查，通报检查落实情况。</w:t>
      </w:r>
    </w:p>
    <w:p>
      <w:pPr>
        <w:widowControl w:val="0"/>
        <w:ind w:firstLine="482"/>
      </w:pPr>
      <w:r>
        <w:rPr>
          <w:rFonts w:hint="eastAsia"/>
          <w:b/>
        </w:rPr>
        <w:t xml:space="preserve">第十一条 </w:t>
      </w:r>
      <w:r>
        <w:rPr>
          <w:rFonts w:hint="eastAsia"/>
          <w:bCs/>
        </w:rPr>
        <w:t>安质环保部</w:t>
      </w:r>
    </w:p>
    <w:p>
      <w:pPr>
        <w:widowControl w:val="0"/>
        <w:ind w:firstLine="480"/>
      </w:pPr>
      <w:r>
        <w:rPr>
          <w:rFonts w:hint="eastAsia"/>
        </w:rPr>
        <w:t>（一）参与专项方案的评审；</w:t>
      </w:r>
    </w:p>
    <w:p>
      <w:pPr>
        <w:widowControl w:val="0"/>
        <w:ind w:firstLine="480"/>
      </w:pPr>
      <w:r>
        <w:rPr>
          <w:rFonts w:hint="eastAsia"/>
        </w:rPr>
        <w:t>（二）对现场专项方案实施过程进行监督、</w:t>
      </w:r>
      <w:r>
        <w:t>检查</w:t>
      </w:r>
      <w:r>
        <w:rPr>
          <w:rFonts w:hint="eastAsia"/>
        </w:rPr>
        <w:t>；</w:t>
      </w:r>
    </w:p>
    <w:p>
      <w:pPr>
        <w:widowControl w:val="0"/>
        <w:ind w:firstLine="480"/>
      </w:pPr>
      <w:r>
        <w:rPr>
          <w:rFonts w:hint="eastAsia"/>
        </w:rPr>
        <w:t>（三）根据台中公司、苏州中车、总承包项目部检查安排或本系统需要，定期或不定期参与专项方案实施监督抽查，通报检查落实情况。</w:t>
      </w:r>
    </w:p>
    <w:p>
      <w:pPr>
        <w:widowControl w:val="0"/>
        <w:ind w:firstLine="482"/>
      </w:pPr>
      <w:r>
        <w:rPr>
          <w:rFonts w:hint="eastAsia"/>
          <w:b/>
        </w:rPr>
        <w:t xml:space="preserve">第十二条 </w:t>
      </w:r>
      <w:r>
        <w:rPr>
          <w:rFonts w:hint="eastAsia"/>
        </w:rPr>
        <w:t>其它部门</w:t>
      </w:r>
    </w:p>
    <w:p>
      <w:pPr>
        <w:widowControl w:val="0"/>
        <w:ind w:firstLine="480"/>
      </w:pPr>
      <w:r>
        <w:rPr>
          <w:rFonts w:hint="eastAsia"/>
        </w:rPr>
        <w:t>物资设备部以及有关部门按照本部门管理内容对专项方案进行审核和监督检查。</w:t>
      </w:r>
    </w:p>
    <w:p>
      <w:pPr>
        <w:pStyle w:val="3"/>
        <w:widowControl w:val="0"/>
      </w:pPr>
      <w:r>
        <w:rPr>
          <w:rFonts w:hint="eastAsia"/>
        </w:rPr>
        <w:t>第四章 编制</w:t>
      </w:r>
    </w:p>
    <w:p>
      <w:pPr>
        <w:widowControl w:val="0"/>
        <w:ind w:firstLine="482"/>
      </w:pPr>
      <w:r>
        <w:rPr>
          <w:rFonts w:hint="eastAsia"/>
          <w:b/>
        </w:rPr>
        <w:t xml:space="preserve">第十三条 </w:t>
      </w:r>
      <w:r>
        <w:rPr>
          <w:rFonts w:hint="eastAsia"/>
        </w:rPr>
        <w:t>根据确定的《专项施工方案编制审批计划表》编制专项方案。</w:t>
      </w:r>
    </w:p>
    <w:p>
      <w:pPr>
        <w:widowControl w:val="0"/>
        <w:ind w:firstLine="482"/>
      </w:pPr>
      <w:r>
        <w:rPr>
          <w:rFonts w:hint="eastAsia"/>
          <w:b/>
        </w:rPr>
        <w:t xml:space="preserve">第十四条 </w:t>
      </w:r>
      <w:r>
        <w:t>危大工程专项施工方案的主要内容</w:t>
      </w:r>
      <w:r>
        <w:rPr>
          <w:rFonts w:hint="eastAsia"/>
        </w:rPr>
        <w:t>应</w:t>
      </w:r>
      <w:r>
        <w:t>符合</w:t>
      </w:r>
      <w:r>
        <w:rPr>
          <w:rFonts w:hint="eastAsia"/>
        </w:rPr>
        <w:t>《关于实施</w:t>
      </w:r>
      <w:r>
        <w:t>&lt;</w:t>
      </w:r>
      <w:r>
        <w:rPr>
          <w:rFonts w:hint="eastAsia"/>
        </w:rPr>
        <w:t>危险性较大的分部分项工程安全管理规定&gt;有关问题的通知》（建办质[</w:t>
      </w:r>
      <w:r>
        <w:t>2018]</w:t>
      </w:r>
      <w:r>
        <w:rPr>
          <w:rFonts w:hint="eastAsia"/>
        </w:rPr>
        <w:t>31号）相关</w:t>
      </w:r>
      <w:r>
        <w:t>规定要求</w:t>
      </w:r>
      <w:r>
        <w:rPr>
          <w:rFonts w:hint="eastAsia"/>
        </w:rPr>
        <w:t>。</w:t>
      </w:r>
    </w:p>
    <w:p>
      <w:pPr>
        <w:widowControl w:val="0"/>
        <w:ind w:firstLine="482"/>
      </w:pPr>
      <w:r>
        <w:rPr>
          <w:rFonts w:hint="eastAsia"/>
          <w:b/>
        </w:rPr>
        <w:t xml:space="preserve">第十五条 </w:t>
      </w:r>
      <w:r>
        <w:rPr>
          <w:rFonts w:hint="eastAsia"/>
        </w:rPr>
        <w:t>专项方案编制要满足实施性施工组织设计总体安排，确保方案的合规性和可操作性。</w:t>
      </w:r>
    </w:p>
    <w:p>
      <w:pPr>
        <w:widowControl w:val="0"/>
        <w:ind w:firstLine="482"/>
      </w:pPr>
      <w:r>
        <w:rPr>
          <w:rFonts w:hint="eastAsia"/>
          <w:b/>
        </w:rPr>
        <w:t xml:space="preserve">第十六条 </w:t>
      </w:r>
      <w:r>
        <w:rPr>
          <w:rFonts w:hint="eastAsia"/>
        </w:rPr>
        <w:t>总承包项目部在分部、分项工程开工前组织完成专项方案编制工作，同时应满足总承包项目部、</w:t>
      </w:r>
      <w:r>
        <w:t>苏州中车及</w:t>
      </w:r>
      <w:r>
        <w:rPr>
          <w:rFonts w:hint="eastAsia"/>
        </w:rPr>
        <w:t>外部审批、</w:t>
      </w:r>
      <w:r>
        <w:t>专家</w:t>
      </w:r>
      <w:r>
        <w:rPr>
          <w:rFonts w:hint="eastAsia"/>
        </w:rPr>
        <w:t>评审</w:t>
      </w:r>
      <w:r>
        <w:t>等</w:t>
      </w:r>
      <w:r>
        <w:rPr>
          <w:rFonts w:hint="eastAsia"/>
        </w:rPr>
        <w:t>时间的要求，并按程序上报审批。</w:t>
      </w:r>
    </w:p>
    <w:p>
      <w:pPr>
        <w:pStyle w:val="3"/>
        <w:widowControl w:val="0"/>
      </w:pPr>
      <w:r>
        <w:rPr>
          <w:rFonts w:hint="eastAsia"/>
        </w:rPr>
        <w:t>第五章 审核评审</w:t>
      </w:r>
    </w:p>
    <w:p>
      <w:pPr>
        <w:widowControl w:val="0"/>
        <w:ind w:firstLine="482"/>
      </w:pPr>
      <w:r>
        <w:rPr>
          <w:rFonts w:hint="eastAsia"/>
          <w:b/>
        </w:rPr>
        <w:t xml:space="preserve">第十七条 </w:t>
      </w:r>
      <w:r>
        <w:rPr>
          <w:rFonts w:hint="eastAsia"/>
        </w:rPr>
        <w:t>审核评审</w:t>
      </w:r>
    </w:p>
    <w:p>
      <w:pPr>
        <w:widowControl w:val="0"/>
        <w:ind w:firstLine="480"/>
      </w:pPr>
      <w:r>
        <w:rPr>
          <w:rFonts w:hint="eastAsia"/>
        </w:rPr>
        <w:t>（一）工区</w:t>
      </w:r>
      <w:r>
        <w:t>完成专项方案</w:t>
      </w:r>
      <w:r>
        <w:rPr>
          <w:rFonts w:hint="eastAsia"/>
        </w:rPr>
        <w:t>编制</w:t>
      </w:r>
      <w:r>
        <w:t>后，由总承包项目部工程部</w:t>
      </w:r>
      <w:r>
        <w:rPr>
          <w:rFonts w:hint="eastAsia"/>
        </w:rPr>
        <w:t>方案审核</w:t>
      </w:r>
      <w:r>
        <w:t>人员</w:t>
      </w:r>
      <w:r>
        <w:rPr>
          <w:rFonts w:hint="eastAsia"/>
        </w:rPr>
        <w:t>在“</w:t>
      </w:r>
      <w:r>
        <w:t>钉钉</w:t>
      </w:r>
      <w:r>
        <w:rPr>
          <w:rFonts w:hint="eastAsia"/>
        </w:rPr>
        <w:t>”发起</w:t>
      </w:r>
      <w:r>
        <w:t>方案审批，</w:t>
      </w:r>
      <w:r>
        <w:rPr>
          <w:rFonts w:hint="eastAsia"/>
        </w:rPr>
        <w:t>根据</w:t>
      </w:r>
      <w:r>
        <w:t>方案类别由</w:t>
      </w:r>
      <w:r>
        <w:rPr>
          <w:rFonts w:hint="eastAsia"/>
        </w:rPr>
        <w:t>内部</w:t>
      </w:r>
      <w:r>
        <w:t>各专家组</w:t>
      </w:r>
      <w:r>
        <w:rPr>
          <w:rFonts w:hint="eastAsia"/>
        </w:rPr>
        <w:t>进行审核。</w:t>
      </w:r>
    </w:p>
    <w:p>
      <w:pPr>
        <w:widowControl w:val="0"/>
        <w:ind w:firstLine="480"/>
      </w:pPr>
      <w:r>
        <w:rPr>
          <w:rFonts w:hint="eastAsia"/>
        </w:rPr>
        <w:t>（二）危险性较大的分部分项工程方案，总承包项目部在2个工作日内出具审核意见返给工区，工区在1个工作日内修改完成返回总承包项目部，总承包项目部报送苏州公司内审，苏州公司各部门及各专业工作组在2个工作日内完成内审，总承包项目部汇总审核意见返给工区，工区在1个工作日内修改完成返回总承包项目部，总承包项目部在4个工作日完成苏州公司盖章流程并返回工区，总共审批时间约为10个工作日。</w:t>
      </w:r>
    </w:p>
    <w:p>
      <w:pPr>
        <w:widowControl w:val="0"/>
        <w:ind w:firstLine="480"/>
      </w:pPr>
      <w:r>
        <w:rPr>
          <w:rFonts w:hint="eastAsia"/>
        </w:rPr>
        <w:t>（三）超过一定规模危险性较大的分部分项工程方案，总承包项目部在3个工作日内出具审核意见返给工区，工区在1个工作日内修改完成返回总承包项目部，总承包项目部报送苏州公司内审，督促苏州公司各部门及各专业工作组在3个工作日内完成内审，总承包项目部汇总审核意见返给工区，工区在1个工作日内修改完成返回总承包项目部，总承包项目部在4个工作日完成苏州公司盖章流程并返回工区，总共审批时间约为12个工作日。</w:t>
      </w:r>
    </w:p>
    <w:p>
      <w:pPr>
        <w:widowControl w:val="0"/>
        <w:ind w:firstLine="482"/>
      </w:pPr>
      <w:r>
        <w:rPr>
          <w:rFonts w:hint="eastAsia"/>
          <w:b/>
        </w:rPr>
        <w:t xml:space="preserve">第十八条 </w:t>
      </w:r>
      <w:r>
        <w:rPr>
          <w:rFonts w:hint="eastAsia"/>
        </w:rPr>
        <w:t>专家论证</w:t>
      </w:r>
    </w:p>
    <w:p>
      <w:pPr>
        <w:widowControl w:val="0"/>
        <w:ind w:firstLine="480"/>
      </w:pPr>
      <w:r>
        <w:rPr>
          <w:rFonts w:hint="eastAsia"/>
        </w:rPr>
        <w:t>（一）超过一定规模的危险性较大的分部分项工程专项施工方案均应组织专家论证；</w:t>
      </w:r>
    </w:p>
    <w:p>
      <w:pPr>
        <w:widowControl w:val="0"/>
        <w:ind w:firstLine="480"/>
      </w:pPr>
      <w:r>
        <w:rPr>
          <w:rFonts w:hint="eastAsia"/>
        </w:rPr>
        <w:t>（二）苏州中车、</w:t>
      </w:r>
      <w:r>
        <w:t>总承包项目部</w:t>
      </w:r>
      <w:r>
        <w:rPr>
          <w:rFonts w:hint="eastAsia"/>
        </w:rPr>
        <w:t>总工程师以及工程部、机电工程部认为必要，需要进行专家评审的专项施工方案。</w:t>
      </w:r>
    </w:p>
    <w:p>
      <w:pPr>
        <w:pStyle w:val="3"/>
        <w:widowControl w:val="0"/>
      </w:pPr>
      <w:r>
        <w:rPr>
          <w:rFonts w:hint="eastAsia"/>
        </w:rPr>
        <w:t>第六章 审批</w:t>
      </w:r>
    </w:p>
    <w:p>
      <w:pPr>
        <w:widowControl w:val="0"/>
        <w:ind w:firstLine="482"/>
      </w:pPr>
      <w:r>
        <w:rPr>
          <w:rFonts w:hint="eastAsia"/>
          <w:b/>
        </w:rPr>
        <w:t xml:space="preserve">第十九条 </w:t>
      </w:r>
      <w:r>
        <w:rPr>
          <w:rFonts w:hint="eastAsia"/>
        </w:rPr>
        <w:t>审批要求</w:t>
      </w:r>
    </w:p>
    <w:p>
      <w:pPr>
        <w:widowControl w:val="0"/>
        <w:ind w:firstLine="480"/>
      </w:pPr>
      <w:r>
        <w:rPr>
          <w:rFonts w:hint="eastAsia"/>
        </w:rPr>
        <w:t>（一）专项施工方案分苏州中车级审批层及总承包项目部审批层；</w:t>
      </w:r>
    </w:p>
    <w:p>
      <w:pPr>
        <w:widowControl w:val="0"/>
        <w:ind w:firstLine="480"/>
      </w:pPr>
      <w:r>
        <w:rPr>
          <w:rFonts w:hint="eastAsia"/>
        </w:rPr>
        <w:t>（二）专项施工方案由苏州中车总工程师最终审批；</w:t>
      </w:r>
    </w:p>
    <w:p>
      <w:pPr>
        <w:widowControl w:val="0"/>
        <w:ind w:firstLine="480"/>
      </w:pPr>
      <w:r>
        <w:rPr>
          <w:rFonts w:hint="eastAsia"/>
        </w:rPr>
        <w:t>（三）需公司审批的专项施工方案在项目完成专项施工方案编制、审核后应由工区技术负责人审定、工区经理审批，方可上报总承包项目部工程部；</w:t>
      </w:r>
    </w:p>
    <w:p>
      <w:pPr>
        <w:widowControl w:val="0"/>
        <w:ind w:firstLine="480"/>
      </w:pPr>
      <w:r>
        <w:rPr>
          <w:rFonts w:hint="eastAsia"/>
        </w:rPr>
        <w:t>（四）总承包项目部在内部审批程序完成后按规定报业主（监理）审批。</w:t>
      </w:r>
    </w:p>
    <w:p>
      <w:pPr>
        <w:pStyle w:val="3"/>
        <w:widowControl w:val="0"/>
      </w:pPr>
      <w:r>
        <w:rPr>
          <w:rFonts w:hint="eastAsia"/>
        </w:rPr>
        <w:t>第七章 发放</w:t>
      </w:r>
    </w:p>
    <w:p>
      <w:pPr>
        <w:widowControl w:val="0"/>
        <w:ind w:firstLine="482"/>
      </w:pPr>
      <w:r>
        <w:rPr>
          <w:rFonts w:hint="eastAsia"/>
          <w:b/>
        </w:rPr>
        <w:t xml:space="preserve">第二十条 </w:t>
      </w:r>
      <w:r>
        <w:rPr>
          <w:rFonts w:hint="eastAsia"/>
        </w:rPr>
        <w:t>专项施工方案审批完成后，根据管理层级由最终审批人所在层级土建、机电部门负责发放并传递本单位相关部门、总承包项目部主要领导及相关</w:t>
      </w:r>
      <w:r>
        <w:t>部门</w:t>
      </w:r>
      <w:r>
        <w:rPr>
          <w:rFonts w:hint="eastAsia"/>
        </w:rPr>
        <w:t>。</w:t>
      </w:r>
    </w:p>
    <w:p>
      <w:pPr>
        <w:widowControl w:val="0"/>
        <w:ind w:firstLine="482"/>
      </w:pPr>
      <w:r>
        <w:rPr>
          <w:rFonts w:hint="eastAsia"/>
          <w:b/>
        </w:rPr>
        <w:t xml:space="preserve">第二十一条 </w:t>
      </w:r>
      <w:r>
        <w:rPr>
          <w:rFonts w:hint="eastAsia"/>
        </w:rPr>
        <w:t>工区专项施工方案发放应与工区的技术交底相结合，至少覆盖工区经理、工区技术负责人、作业队长、作业班组以及其他有关岗位人员。</w:t>
      </w:r>
    </w:p>
    <w:p>
      <w:pPr>
        <w:pStyle w:val="3"/>
        <w:widowControl w:val="0"/>
      </w:pPr>
      <w:r>
        <w:rPr>
          <w:rFonts w:hint="eastAsia"/>
        </w:rPr>
        <w:t>第八章 方案实施</w:t>
      </w:r>
    </w:p>
    <w:p>
      <w:pPr>
        <w:widowControl w:val="0"/>
        <w:ind w:firstLine="482"/>
      </w:pPr>
      <w:r>
        <w:rPr>
          <w:rFonts w:hint="eastAsia"/>
          <w:b/>
        </w:rPr>
        <w:t xml:space="preserve">第二十二条 </w:t>
      </w:r>
      <w:r>
        <w:rPr>
          <w:rFonts w:hint="eastAsia"/>
        </w:rPr>
        <w:t>施工方案的实施涉及总承包项目部各职能部门和职能人员。其中项目经理是施工方案实施的第一责任人，总工程师对施工方案的正确性负责。总承包项目部各职能部门和人员应根据施工方案的职能分工各负其责，各司其职。</w:t>
      </w:r>
    </w:p>
    <w:p>
      <w:pPr>
        <w:widowControl w:val="0"/>
        <w:ind w:firstLine="482"/>
      </w:pPr>
      <w:r>
        <w:rPr>
          <w:rFonts w:hint="eastAsia"/>
          <w:b/>
        </w:rPr>
        <w:t xml:space="preserve">第二十三条 </w:t>
      </w:r>
      <w:r>
        <w:rPr>
          <w:rFonts w:hint="eastAsia"/>
        </w:rPr>
        <w:t>总承包项目部总工程师根据审批后的专项方案组织项目经理、生产副经理、相关</w:t>
      </w:r>
      <w:r>
        <w:t>部门负责人</w:t>
      </w:r>
      <w:r>
        <w:rPr>
          <w:rFonts w:hint="eastAsia"/>
        </w:rPr>
        <w:t>及其他有关岗位人员进行</w:t>
      </w:r>
      <w:r>
        <w:t>技术交底。</w:t>
      </w:r>
    </w:p>
    <w:p>
      <w:pPr>
        <w:widowControl w:val="0"/>
        <w:ind w:firstLine="482"/>
      </w:pPr>
      <w:r>
        <w:rPr>
          <w:rFonts w:hint="eastAsia"/>
          <w:b/>
        </w:rPr>
        <w:t xml:space="preserve">第二十四条 </w:t>
      </w:r>
      <w:r>
        <w:rPr>
          <w:rFonts w:hint="eastAsia"/>
        </w:rPr>
        <w:t>工区</w:t>
      </w:r>
      <w:r>
        <w:t>技术负责人</w:t>
      </w:r>
      <w:r>
        <w:rPr>
          <w:rFonts w:hint="eastAsia"/>
        </w:rPr>
        <w:t>根据审批后的专项方案组织工区经理、工区生产副经理、作业队长或班组负责人以及其他有关岗位人员进行培训交底；工区工程技术部门按方案分工序进行施工技术交底至作业班组所有人员并组织培训；工区生产副经理、作业队长或班组负责人按照方案确定的资源、施工方法、施工顺序及施工技术交底的具体要求组织施工。</w:t>
      </w:r>
    </w:p>
    <w:p>
      <w:pPr>
        <w:widowControl w:val="0"/>
        <w:ind w:firstLine="482"/>
      </w:pPr>
      <w:r>
        <w:rPr>
          <w:rFonts w:hint="eastAsia"/>
          <w:b/>
        </w:rPr>
        <w:t xml:space="preserve">第二十五条 </w:t>
      </w:r>
      <w:r>
        <w:rPr>
          <w:rFonts w:hint="eastAsia"/>
        </w:rPr>
        <w:t>总承包项目部总工程师应当指定专人对施工方案实施情况进行现场监督和按规定进行检测。发现不按照专项方案施工的，应当要求其立即整改；发现有危及人身安全紧急情况的，应当立即组织作业人员撤离危险区域。</w:t>
      </w:r>
    </w:p>
    <w:p>
      <w:pPr>
        <w:widowControl w:val="0"/>
        <w:ind w:firstLine="482"/>
      </w:pPr>
      <w:r>
        <w:rPr>
          <w:rFonts w:hint="eastAsia"/>
          <w:b/>
        </w:rPr>
        <w:t xml:space="preserve">第二十六条 </w:t>
      </w:r>
      <w:r>
        <w:rPr>
          <w:rFonts w:hint="eastAsia"/>
        </w:rPr>
        <w:t>总承包项目部总工程师、生产副经理、安全总监应当定期巡查、监督施工方案实施情况。</w:t>
      </w:r>
    </w:p>
    <w:p>
      <w:pPr>
        <w:widowControl w:val="0"/>
        <w:ind w:firstLine="482"/>
      </w:pPr>
      <w:r>
        <w:rPr>
          <w:rFonts w:hint="eastAsia"/>
          <w:b/>
        </w:rPr>
        <w:t xml:space="preserve">第二十七条 </w:t>
      </w:r>
      <w:r>
        <w:rPr>
          <w:rFonts w:hint="eastAsia"/>
        </w:rPr>
        <w:t>实施过程中严禁任何人随意改变已批准的专项施工方案。原则上不得变更专项施工方案，确实需要变更方案的，必须履行变更方案手续，严格按照原审核、审批程序重新审批后方可实施。</w:t>
      </w:r>
    </w:p>
    <w:p>
      <w:pPr>
        <w:pStyle w:val="3"/>
        <w:widowControl w:val="0"/>
      </w:pPr>
      <w:r>
        <w:rPr>
          <w:rFonts w:hint="eastAsia"/>
        </w:rPr>
        <w:t>第九章</w:t>
      </w:r>
      <w:r>
        <w:t xml:space="preserve"> </w:t>
      </w:r>
      <w:r>
        <w:rPr>
          <w:rFonts w:hint="eastAsia"/>
        </w:rPr>
        <w:t>监督检查</w:t>
      </w:r>
    </w:p>
    <w:p>
      <w:pPr>
        <w:widowControl w:val="0"/>
        <w:ind w:firstLine="482"/>
      </w:pPr>
      <w:r>
        <w:rPr>
          <w:rFonts w:hint="eastAsia"/>
          <w:b/>
        </w:rPr>
        <w:t xml:space="preserve">第二十八条 </w:t>
      </w:r>
      <w:r>
        <w:rPr>
          <w:rFonts w:hint="eastAsia"/>
        </w:rPr>
        <w:t>项目经理应组织项目部有关人员及部门结合月度生产例行检查、关键节点转序，对专项施工方案实施的全过程监控与管理，对不符合其要求的行为及时纠正。</w:t>
      </w:r>
    </w:p>
    <w:p>
      <w:pPr>
        <w:widowControl w:val="0"/>
        <w:ind w:firstLine="482"/>
      </w:pPr>
      <w:r>
        <w:rPr>
          <w:rFonts w:hint="eastAsia"/>
          <w:b/>
        </w:rPr>
        <w:t xml:space="preserve">第二十九条 </w:t>
      </w:r>
      <w:r>
        <w:rPr>
          <w:rFonts w:hint="eastAsia"/>
        </w:rPr>
        <w:t>总承包项目部负责组织对工区进行日常检查，每月形成《专项施工方案管理台账》，同时每季度填写专项施工方案管理情况及《专项施工方案现场落实情况反馈表》（附件</w:t>
      </w:r>
      <w:r>
        <w:t>4</w:t>
      </w:r>
      <w:r>
        <w:rPr>
          <w:rFonts w:hint="eastAsia"/>
        </w:rPr>
        <w:t>），其中专项施工方案管理情况填写内容包括：</w:t>
      </w:r>
    </w:p>
    <w:p>
      <w:pPr>
        <w:widowControl w:val="0"/>
        <w:ind w:firstLine="480"/>
      </w:pPr>
      <w:r>
        <w:rPr>
          <w:rFonts w:hint="eastAsia"/>
        </w:rPr>
        <w:t>（一）本季度编制、审核、审批（项目内部审批、公司审批、苏州中车审批）专项施工方案数量（按工程及管理类别分别统计），召开专家论证会议情况（召开内、外部会议数量等）；</w:t>
      </w:r>
    </w:p>
    <w:p>
      <w:pPr>
        <w:widowControl w:val="0"/>
        <w:ind w:firstLine="480"/>
      </w:pPr>
      <w:r>
        <w:rPr>
          <w:rFonts w:hint="eastAsia"/>
        </w:rPr>
        <w:t>（二）监督检查及整改落实情况；</w:t>
      </w:r>
    </w:p>
    <w:p>
      <w:pPr>
        <w:widowControl w:val="0"/>
        <w:ind w:firstLine="480"/>
      </w:pPr>
      <w:r>
        <w:rPr>
          <w:rFonts w:hint="eastAsia"/>
        </w:rPr>
        <w:t>（三）主要存在的问题（建立动态分级管理台账情况、编制、审核、审批、实施过程时效性和合规性情况等）；</w:t>
      </w:r>
    </w:p>
    <w:p>
      <w:pPr>
        <w:widowControl w:val="0"/>
        <w:ind w:firstLine="480"/>
      </w:pPr>
      <w:r>
        <w:rPr>
          <w:rFonts w:hint="eastAsia"/>
        </w:rPr>
        <w:t>（四）下个季度重点关注的专项方案基本情况（所在项目及专项方案名称，关注的重点问题）。</w:t>
      </w:r>
    </w:p>
    <w:p>
      <w:pPr>
        <w:widowControl w:val="0"/>
        <w:ind w:firstLine="482"/>
      </w:pPr>
      <w:r>
        <w:rPr>
          <w:rFonts w:hint="eastAsia"/>
          <w:b/>
        </w:rPr>
        <w:t xml:space="preserve">第三十条 </w:t>
      </w:r>
      <w:r>
        <w:rPr>
          <w:rFonts w:hint="eastAsia"/>
        </w:rPr>
        <w:t>经苏州中车检查，对于专项施工方案编制、审核、审定、调整、实施等不符合要求的工区责任人，根据不符合程度进行通报批评或相应处罚。</w:t>
      </w:r>
    </w:p>
    <w:p>
      <w:pPr>
        <w:widowControl w:val="0"/>
        <w:ind w:firstLine="482"/>
        <w:rPr>
          <w:rFonts w:ascii="仿宋_GB2312" w:hAnsi="仿宋"/>
          <w:szCs w:val="32"/>
        </w:rPr>
      </w:pPr>
      <w:r>
        <w:rPr>
          <w:rFonts w:hint="eastAsia"/>
          <w:b/>
        </w:rPr>
        <w:t xml:space="preserve">第三十一条 </w:t>
      </w:r>
      <w:r>
        <w:rPr>
          <w:rFonts w:hint="eastAsia"/>
        </w:rPr>
        <w:t>检查主要内容</w:t>
      </w:r>
    </w:p>
    <w:p>
      <w:pPr>
        <w:widowControl w:val="0"/>
        <w:ind w:firstLine="480"/>
      </w:pPr>
      <w:r>
        <w:rPr>
          <w:rFonts w:hint="eastAsia"/>
        </w:rPr>
        <w:t>（一）编审制度、检查制度的建立健全和实施情况；</w:t>
      </w:r>
    </w:p>
    <w:p>
      <w:pPr>
        <w:widowControl w:val="0"/>
        <w:ind w:firstLine="480"/>
      </w:pPr>
      <w:r>
        <w:rPr>
          <w:rFonts w:hint="eastAsia"/>
        </w:rPr>
        <w:t>（二）专项施工方案是否结合工程特点编制，内容是否完整，设计计算是否完善，是否具有针对性和可操作性；</w:t>
      </w:r>
    </w:p>
    <w:p>
      <w:pPr>
        <w:widowControl w:val="0"/>
        <w:ind w:firstLine="480"/>
      </w:pPr>
      <w:r>
        <w:rPr>
          <w:rFonts w:hint="eastAsia"/>
        </w:rPr>
        <w:t>（三）项目经理、项目技术负责人或相关部门等专项施工方案编制、审核以及相关人员签字情况；按要求应组织专家论证的，是否组织了专家论证；</w:t>
      </w:r>
    </w:p>
    <w:p>
      <w:pPr>
        <w:widowControl w:val="0"/>
        <w:ind w:firstLine="480"/>
      </w:pPr>
      <w:r>
        <w:rPr>
          <w:rFonts w:hint="eastAsia"/>
        </w:rPr>
        <w:t>（四）专项施工方案的发放是否到位，实施前是否进行了详细的交底，相关参与实施专项施工方案的人员是否了解专项施工方案的内容及安全技术措施；</w:t>
      </w:r>
    </w:p>
    <w:p>
      <w:pPr>
        <w:widowControl w:val="0"/>
        <w:ind w:firstLine="480"/>
      </w:pPr>
      <w:r>
        <w:rPr>
          <w:rFonts w:hint="eastAsia"/>
        </w:rPr>
        <w:t>（五）专项施工方案实施过程的监管，实施过程中发现问题的整改落实情况，现场发生变化时，是否按规定程序调整方案；</w:t>
      </w:r>
    </w:p>
    <w:p>
      <w:pPr>
        <w:widowControl w:val="0"/>
        <w:ind w:firstLine="480"/>
      </w:pPr>
      <w:r>
        <w:rPr>
          <w:rFonts w:hint="eastAsia"/>
        </w:rPr>
        <w:t>（六）专项施工方案实施过程中有关安全生产的措施是否落实。</w:t>
      </w:r>
    </w:p>
    <w:p>
      <w:pPr>
        <w:pStyle w:val="3"/>
        <w:widowControl w:val="0"/>
      </w:pPr>
      <w:r>
        <w:rPr>
          <w:rFonts w:hint="eastAsia"/>
        </w:rPr>
        <w:t>第十章 罚则</w:t>
      </w:r>
    </w:p>
    <w:p>
      <w:pPr>
        <w:widowControl w:val="0"/>
        <w:ind w:firstLine="482"/>
      </w:pPr>
      <w:r>
        <w:rPr>
          <w:rFonts w:hint="eastAsia"/>
          <w:b/>
        </w:rPr>
        <w:t xml:space="preserve">第三十二条 </w:t>
      </w:r>
      <w:r>
        <w:rPr>
          <w:rFonts w:hint="eastAsia"/>
        </w:rPr>
        <w:t>专项方案管理过程出现违规而造成经营生产损失时，</w:t>
      </w:r>
      <w:r>
        <w:t>按《</w:t>
      </w:r>
      <w:r>
        <w:rPr>
          <w:rFonts w:hint="eastAsia"/>
        </w:rPr>
        <w:t>危险性较大的分部分项工程安全管理规定</w:t>
      </w:r>
      <w:r>
        <w:t>》</w:t>
      </w:r>
      <w:r>
        <w:rPr>
          <w:rFonts w:hint="eastAsia"/>
        </w:rPr>
        <w:t>、</w:t>
      </w:r>
      <w:r>
        <w:t>《</w:t>
      </w:r>
      <w:r>
        <w:rPr>
          <w:rFonts w:hint="eastAsia"/>
        </w:rPr>
        <w:t>安全质量文明施工违约处罚实施细则</w:t>
      </w:r>
      <w:r>
        <w:t>》</w:t>
      </w:r>
      <w:r>
        <w:rPr>
          <w:rFonts w:hint="eastAsia"/>
        </w:rPr>
        <w:t>有关规定</w:t>
      </w:r>
      <w:r>
        <w:t>进行</w:t>
      </w:r>
      <w:r>
        <w:rPr>
          <w:rFonts w:hint="eastAsia"/>
        </w:rPr>
        <w:t>责任追究和</w:t>
      </w:r>
      <w:r>
        <w:t>处罚</w:t>
      </w:r>
      <w:r>
        <w:rPr>
          <w:rFonts w:hint="eastAsia"/>
        </w:rPr>
        <w:t>。</w:t>
      </w:r>
    </w:p>
    <w:p>
      <w:pPr>
        <w:widowControl w:val="0"/>
        <w:ind w:firstLine="482"/>
      </w:pPr>
      <w:r>
        <w:rPr>
          <w:rFonts w:hint="eastAsia"/>
          <w:b/>
        </w:rPr>
        <w:t xml:space="preserve">第三十三条 </w:t>
      </w:r>
      <w:r>
        <w:rPr>
          <w:rFonts w:hint="eastAsia"/>
        </w:rPr>
        <w:t>工区因专项方案管理存在问题时，纳入工区月度</w:t>
      </w:r>
      <w:r>
        <w:t>、</w:t>
      </w:r>
      <w:r>
        <w:rPr>
          <w:rFonts w:hint="eastAsia"/>
        </w:rPr>
        <w:t>季度施工技术管理考评，同时列入总承包项目部对工区月度综合</w:t>
      </w:r>
      <w:r>
        <w:t>评比</w:t>
      </w:r>
      <w:r>
        <w:rPr>
          <w:rFonts w:hint="eastAsia"/>
        </w:rPr>
        <w:t>考核。</w:t>
      </w:r>
    </w:p>
    <w:p>
      <w:pPr>
        <w:widowControl w:val="0"/>
        <w:ind w:firstLine="480"/>
      </w:pPr>
    </w:p>
    <w:p>
      <w:pPr>
        <w:widowControl w:val="0"/>
        <w:ind w:firstLine="482"/>
        <w:rPr>
          <w:b/>
          <w:bCs/>
        </w:rPr>
      </w:pPr>
      <w:r>
        <w:rPr>
          <w:rFonts w:hint="eastAsia"/>
          <w:b/>
          <w:bCs/>
        </w:rPr>
        <w:t>附件1：《</w:t>
      </w:r>
      <w:r>
        <w:rPr>
          <w:rFonts w:hint="eastAsia"/>
        </w:rPr>
        <w:t>危大</w:t>
      </w:r>
      <w:r>
        <w:t>工程清单</w:t>
      </w:r>
      <w:r>
        <w:rPr>
          <w:rFonts w:hint="eastAsia"/>
        </w:rPr>
        <w:t>》</w:t>
      </w:r>
    </w:p>
    <w:p>
      <w:pPr>
        <w:widowControl w:val="0"/>
        <w:ind w:firstLine="482"/>
      </w:pPr>
      <w:r>
        <w:rPr>
          <w:rFonts w:hint="eastAsia"/>
          <w:b/>
          <w:bCs/>
        </w:rPr>
        <w:t>附件2：</w:t>
      </w:r>
      <w:r>
        <w:rPr>
          <w:rFonts w:hint="eastAsia"/>
        </w:rPr>
        <w:t>《项目专项施工方案编制审批计划表》</w:t>
      </w:r>
    </w:p>
    <w:p>
      <w:pPr>
        <w:widowControl w:val="0"/>
        <w:ind w:firstLine="482"/>
        <w:rPr>
          <w:b/>
          <w:bCs/>
        </w:rPr>
      </w:pPr>
      <w:r>
        <w:rPr>
          <w:rFonts w:hint="eastAsia"/>
          <w:b/>
          <w:bCs/>
        </w:rPr>
        <w:t>附件3：</w:t>
      </w:r>
      <w:r>
        <w:rPr>
          <w:rFonts w:hint="eastAsia"/>
        </w:rPr>
        <w:t>《专项施工方案管理台账》</w:t>
      </w:r>
    </w:p>
    <w:p>
      <w:pPr>
        <w:widowControl w:val="0"/>
        <w:ind w:firstLine="482"/>
      </w:pPr>
      <w:r>
        <w:rPr>
          <w:rFonts w:hint="eastAsia"/>
          <w:b/>
          <w:bCs/>
        </w:rPr>
        <w:t>附件4：</w:t>
      </w:r>
      <w:r>
        <w:rPr>
          <w:rFonts w:hint="eastAsia"/>
        </w:rPr>
        <w:t>《专项施工方案现场落实情况反馈表》</w:t>
      </w:r>
    </w:p>
    <w:p>
      <w:pPr>
        <w:widowControl w:val="0"/>
        <w:ind w:firstLine="482"/>
        <w:rPr>
          <w:b/>
          <w:bCs/>
        </w:rPr>
      </w:pPr>
      <w:r>
        <w:rPr>
          <w:rFonts w:hint="eastAsia"/>
          <w:b/>
          <w:bCs/>
        </w:rPr>
        <w:br w:type="page"/>
      </w:r>
    </w:p>
    <w:p>
      <w:pPr>
        <w:widowControl w:val="0"/>
        <w:ind w:firstLine="0" w:firstLineChars="0"/>
        <w:rPr>
          <w:rFonts w:ascii="仿宋_GB2312" w:hAnsi="仿宋_GB2312" w:cs="仿宋_GB2312"/>
          <w:szCs w:val="32"/>
        </w:rPr>
      </w:pPr>
      <w:r>
        <w:rPr>
          <w:rFonts w:hint="eastAsia"/>
          <w:b/>
          <w:bCs/>
        </w:rPr>
        <w:t>附件1</w:t>
      </w:r>
    </w:p>
    <w:p>
      <w:pPr>
        <w:adjustRightInd w:val="0"/>
        <w:spacing w:line="500" w:lineRule="exact"/>
        <w:ind w:firstLine="0" w:firstLineChars="0"/>
        <w:jc w:val="center"/>
        <w:textAlignment w:val="baseline"/>
        <w:rPr>
          <w:rFonts w:ascii="仿宋_GB2312" w:hAnsi="仿宋_GB2312" w:cs="仿宋_GB2312"/>
          <w:szCs w:val="32"/>
        </w:rPr>
      </w:pPr>
      <w:r>
        <w:rPr>
          <w:rFonts w:hint="eastAsia" w:ascii="仿宋_GB2312" w:hAnsi="仿宋_GB2312" w:cs="仿宋_GB2312"/>
          <w:szCs w:val="32"/>
        </w:rPr>
        <w:t>危大工程</w:t>
      </w:r>
      <w:r>
        <w:rPr>
          <w:rFonts w:ascii="仿宋_GB2312" w:hAnsi="仿宋_GB2312" w:cs="仿宋_GB2312"/>
          <w:szCs w:val="32"/>
        </w:rPr>
        <w:t>清单</w:t>
      </w:r>
    </w:p>
    <w:tbl>
      <w:tblPr>
        <w:tblStyle w:val="2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3287"/>
        <w:gridCol w:w="306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1557" w:type="dxa"/>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工程类别</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编制原因</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方案名称</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所属范围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基坑工程</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开挖深度超过3m以上且小于5m的基坑（槽）开挖、支护、降水工程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六工区商海北街站基坑开挖专项施工方案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开挖深度超过5m（含5m）的基坑（槽）的土方开挖、支护、降水工程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十一工区深基坑安全专项施工方案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模板工程及支撑体系</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承重支撑体系：用于钢结构安装等满堂支撑体系</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八工区客运南站站钢支撑安装、拆卸安全专项方案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混凝土模板支撑工程：搭设高度8m及以上；搭设跨度18m及以上，施工总荷载15kN/m2及以上；集中线荷载20kN/m2及以上</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十一工区（40+65+40）m四线道岔连续梁安全专项施工方案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大模板工程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六工区洪家特大桥墩身专项施工方案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起重吊装及起重机械安装拆卸工程</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起重机械设备自身的安装、拆卸</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二工区台州中心站门吊安装拆卸</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采用非常规起重设备、方法，且单件起吊重量在10KN及以上的起重吊装工程</w:t>
            </w:r>
          </w:p>
        </w:tc>
        <w:tc>
          <w:tcPr>
            <w:tcW w:w="3062" w:type="dxa"/>
            <w:shd w:val="clear" w:color="000000" w:fill="FFFFFF"/>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六工区商海北街站塔吊安拆工程</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采用起重机械进行安装的工程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十二工区基坑内支撑施工专项施工方案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采用非常规起重设备、方法，且单件起吊重量在100kN及以上的起重吊装工程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八工区客泽明挖区间地下连续墙钢筋笼吊装安全专项施工方案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起重量300kN及以上的起重设备安装工程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八工区客泽明挖区间履带吊安装、拆卸安全专项方案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脚手架工程</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搭设高度24m及以上的落地式钢管脚手架工程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十六工区脚手架专项施工方案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自制卸料平台、移动操作平台工程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三工区开发大道站门吊安装拆卸</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桥位制梁（挂篮悬浇）</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四工区（50m+80m+50m)悬灌挂篮连续梁专项施工方案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土质边坡超过15米以上的边坡处理工程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一工区羊头山隧道边坡防护专项方案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滑坡处理、边坡防护工程</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滑坡体处置工程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一工区羊头山隧道边坡防护工程专项方案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高度超过6m以上的边坡处理工程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九工区深路堑高边坡安全专项施工方案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高度超过3m以上的支挡工程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九工区路基支挡结构安全专项施工方案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拆除、爆破工程</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大型便桥、设备架设拆除工程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九工区栈桥搭设、拆除安全专项施工方案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水泥混凝土拌和设备装拆工程</w:t>
            </w:r>
          </w:p>
        </w:tc>
        <w:tc>
          <w:tcPr>
            <w:tcW w:w="3062"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十三工区喷射混凝土拌和站装拆工程安全专项施工方案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所有涉及爆破的工程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一工区隧道爆破专项方案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桥梁工程</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跨越河道施工</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十工区温岭火车站特大桥跨河跨路安全专项施工方案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跨大石一级公路施工</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十工区温岭火车站特大桥跨线施工安全专项施工方案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跨越道路施工</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九工区跨越道路安全专项施工方案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拱桥施工</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四工区马庄特大桥1-128m下承式钢管混凝土系拱杆专项施工方案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隧道工程</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竖井工程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一工区竖井结构专项方案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隧道洞口明洞施工</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九工区隧道洞口、明洞安全专项施工方案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洞身开挖施工</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九工区隧道洞身开挖安全专项施工方案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隧道预应力锚杆工程</w:t>
            </w:r>
          </w:p>
        </w:tc>
        <w:tc>
          <w:tcPr>
            <w:tcW w:w="3062"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十三工区城南隧道藤岭段低预应力锚杆工程安全专项施工方案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隧道出渣、运输工程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一工区隧道出渣、运输工程专项方案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隧道初期支护、二衬工程专项方案</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一工区隧道初期支护、二衬工程专项方案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地下暗挖工程</w:t>
            </w:r>
          </w:p>
        </w:tc>
        <w:tc>
          <w:tcPr>
            <w:tcW w:w="3062"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三工区台～开区间联络通道</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隧道工程（含盾构机选型、盾构机适应性评估、盾构始发掘进到达等）施工</w:t>
            </w:r>
          </w:p>
        </w:tc>
        <w:tc>
          <w:tcPr>
            <w:tcW w:w="3062"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三工区台～开盾构区间盾构始发、掘进及接收</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不良地质隧道施工</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九工区隧道安全专项施工方案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采用矿山法、盾构法、顶管法施工的隧道、洞室工程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十二工区联络通道冷冻法专项施工方案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隧道工程</w:t>
            </w:r>
          </w:p>
        </w:tc>
        <w:tc>
          <w:tcPr>
            <w:tcW w:w="3287"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隧道下穿水库或河流地段的隧道工程、中夹岩柱小于1倍隧道开挖跨度的小净距隧道</w:t>
            </w:r>
          </w:p>
        </w:tc>
        <w:tc>
          <w:tcPr>
            <w:tcW w:w="3062"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十三工区城南隧道藤岭段安全专项施工方案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Ⅴ级围岩连续长度占总隧道长度10%且连续长度超过100m；埋深小于1倍跨度的浅埋地段。</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九工区隧道洞身开挖安全专项施工方案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可能产生坍塌或滑坡的偏压段</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九工区隧道洞口偏压安全专项施工方案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隧道：埋深小于1倍跨度的浅埋地段</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一工区浅埋暗挖专项方案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上软下硬，地层复杂，前段是软岩，后段是凝灰岩，对设备刀盘适用性要求较高</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十二工区盾构不良地质专项施工方案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盾构在特殊地段（浅覆土、小净距、小半径曲线段、下穿或通过建筑物、地下管线、大坡度段、江河地段）施工</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十二工区盾构下（侧）穿建筑物专项施工方案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restart"/>
            <w:shd w:val="clear" w:color="auto" w:fill="auto"/>
            <w:vAlign w:val="center"/>
          </w:tcPr>
          <w:p>
            <w:pPr>
              <w:spacing w:line="240" w:lineRule="auto"/>
              <w:ind w:firstLine="0" w:firstLineChars="0"/>
              <w:jc w:val="center"/>
              <w:rPr>
                <w:rFonts w:ascii="等线" w:hAnsi="等线" w:eastAsia="等线" w:cs="宋体"/>
                <w:color w:val="000000"/>
                <w:kern w:val="0"/>
                <w:sz w:val="22"/>
              </w:rPr>
            </w:pPr>
            <w:r>
              <w:rPr>
                <w:rFonts w:hint="eastAsia" w:ascii="等线" w:hAnsi="等线" w:eastAsia="等线" w:cs="宋体"/>
                <w:color w:val="000000"/>
                <w:kern w:val="0"/>
                <w:sz w:val="22"/>
              </w:rPr>
              <w:t>其他工程</w:t>
            </w: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内河水上平台作业工程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十工区温岭火车站特大桥钢栈桥及水上钻孔平台安全专项施工方案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人工挖孔工程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九工区人工挖孔桩安全专项施工方案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钢结构安装工程</w:t>
            </w:r>
          </w:p>
        </w:tc>
        <w:tc>
          <w:tcPr>
            <w:tcW w:w="3062"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十五工区城南站钢结构雨棚安装工程</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边施工边通航</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九工区桥梁跨通航河安全专项施工方案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施工临时用电工程（用电设备5台以上或总容量50KW以上）</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七工区临时用电施工组织设计</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跨度大于36m及以上的钢结构安装工</w:t>
            </w:r>
          </w:p>
        </w:tc>
        <w:tc>
          <w:tcPr>
            <w:tcW w:w="3062" w:type="dxa"/>
            <w:shd w:val="clear" w:color="auto" w:fill="auto"/>
            <w:vAlign w:val="center"/>
          </w:tcPr>
          <w:p>
            <w:pPr>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十五工区城南站室外连廊钢结构安装工程</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采用新技术、新工艺、新材料、新设备及尚无相关技术标准的危险性较大的分部分项工程。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八工区客~泽盾构区间联络通道冻结法安全施工专项方案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预应力工程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十工区温岭火车站特大桥上部结构预应力施工安全专项方案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危大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7" w:type="dxa"/>
            <w:vMerge w:val="continue"/>
            <w:vAlign w:val="center"/>
          </w:tcPr>
          <w:p>
            <w:pPr>
              <w:spacing w:line="240" w:lineRule="auto"/>
              <w:ind w:firstLine="0" w:firstLineChars="0"/>
              <w:jc w:val="left"/>
              <w:rPr>
                <w:rFonts w:ascii="等线" w:hAnsi="等线" w:eastAsia="等线" w:cs="宋体"/>
                <w:color w:val="000000"/>
                <w:kern w:val="0"/>
                <w:sz w:val="22"/>
              </w:rPr>
            </w:pPr>
          </w:p>
        </w:tc>
        <w:tc>
          <w:tcPr>
            <w:tcW w:w="3287"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预应力结构张拉、压浆工程</w:t>
            </w:r>
          </w:p>
        </w:tc>
        <w:tc>
          <w:tcPr>
            <w:tcW w:w="3062"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四工区预应力工程专项施工方案</w:t>
            </w:r>
          </w:p>
        </w:tc>
        <w:tc>
          <w:tcPr>
            <w:tcW w:w="1154" w:type="dxa"/>
            <w:shd w:val="clear" w:color="auto" w:fill="auto"/>
            <w:vAlign w:val="center"/>
          </w:tcPr>
          <w:p>
            <w:pPr>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超规模</w:t>
            </w:r>
          </w:p>
        </w:tc>
      </w:tr>
    </w:tbl>
    <w:p>
      <w:pPr>
        <w:ind w:firstLine="480"/>
        <w:rPr>
          <w:rFonts w:ascii="仿宋_GB2312" w:hAnsi="仿宋_GB2312" w:cs="仿宋_GB2312"/>
          <w:szCs w:val="32"/>
        </w:rPr>
        <w:sectPr>
          <w:pgSz w:w="11906" w:h="16838"/>
          <w:pgMar w:top="2098" w:right="1474" w:bottom="1985" w:left="1588" w:header="851" w:footer="992" w:gutter="0"/>
          <w:cols w:space="425" w:num="1"/>
          <w:docGrid w:type="lines" w:linePitch="312" w:charSpace="0"/>
        </w:sectPr>
      </w:pP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w:t>
      </w:r>
      <w:r>
        <w:rPr>
          <w:rFonts w:ascii="宋体" w:hAnsi="宋体" w:eastAsia="宋体" w:cs="Calibri"/>
          <w:b/>
          <w:bCs/>
          <w:szCs w:val="21"/>
        </w:rPr>
        <w:t>2</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专项施工方案编制审批计划表</w:t>
      </w:r>
    </w:p>
    <w:tbl>
      <w:tblPr>
        <w:tblStyle w:val="22"/>
        <w:tblW w:w="1377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21"/>
        <w:gridCol w:w="1022"/>
        <w:gridCol w:w="1023"/>
        <w:gridCol w:w="1022"/>
        <w:gridCol w:w="1168"/>
        <w:gridCol w:w="1022"/>
        <w:gridCol w:w="877"/>
        <w:gridCol w:w="876"/>
        <w:gridCol w:w="1022"/>
        <w:gridCol w:w="877"/>
        <w:gridCol w:w="844"/>
        <w:gridCol w:w="13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704" w:type="dxa"/>
            <w:gridSpan w:val="10"/>
            <w:vMerge w:val="restart"/>
            <w:vAlign w:val="center"/>
          </w:tcPr>
          <w:p>
            <w:pPr>
              <w:spacing w:line="240" w:lineRule="auto"/>
              <w:ind w:firstLine="0" w:firstLineChars="0"/>
              <w:jc w:val="center"/>
              <w:rPr>
                <w:rFonts w:ascii="仿宋_GB2312" w:hAnsi="仿宋_GB2312" w:eastAsia="仿宋_GB2312"/>
                <w:color w:val="000000"/>
              </w:rPr>
            </w:pPr>
            <w:r>
              <w:rPr>
                <w:rFonts w:hint="eastAsia" w:ascii="仿宋_GB2312" w:eastAsia="仿宋_GB2312"/>
                <w:color w:val="000000"/>
              </w:rPr>
              <w:t>专项施工方案编制审批计划表</w:t>
            </w:r>
          </w:p>
        </w:tc>
        <w:tc>
          <w:tcPr>
            <w:tcW w:w="3067" w:type="dxa"/>
            <w:gridSpan w:val="3"/>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表格编号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704" w:type="dxa"/>
            <w:gridSpan w:val="10"/>
            <w:vMerge w:val="continue"/>
          </w:tcPr>
          <w:p>
            <w:pPr>
              <w:spacing w:line="240" w:lineRule="auto"/>
              <w:ind w:firstLine="0" w:firstLineChars="0"/>
              <w:jc w:val="center"/>
              <w:rPr>
                <w:rFonts w:ascii="仿宋_GB2312" w:hAnsi="仿宋_GB2312" w:eastAsia="仿宋_GB2312"/>
                <w:color w:val="000000"/>
              </w:rPr>
            </w:pPr>
          </w:p>
        </w:tc>
        <w:tc>
          <w:tcPr>
            <w:tcW w:w="3067" w:type="dxa"/>
            <w:gridSpan w:val="3"/>
            <w:vAlign w:val="center"/>
          </w:tcPr>
          <w:p>
            <w:pPr>
              <w:spacing w:line="240" w:lineRule="auto"/>
              <w:ind w:firstLine="0" w:firstLineChars="0"/>
              <w:jc w:val="center"/>
              <w:rPr>
                <w:rFonts w:ascii="仿宋_GB2312" w:hAnsi="仿宋_GB2312" w:eastAsia="仿宋_GB2312"/>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3771" w:type="dxa"/>
            <w:gridSpan w:val="13"/>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项目名称：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vMerge w:val="restart"/>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序号</w:t>
            </w:r>
          </w:p>
        </w:tc>
        <w:tc>
          <w:tcPr>
            <w:tcW w:w="1821" w:type="dxa"/>
            <w:vMerge w:val="restart"/>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名称</w:t>
            </w:r>
          </w:p>
        </w:tc>
        <w:tc>
          <w:tcPr>
            <w:tcW w:w="1022" w:type="dxa"/>
            <w:vMerge w:val="restart"/>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编制人</w:t>
            </w:r>
          </w:p>
        </w:tc>
        <w:tc>
          <w:tcPr>
            <w:tcW w:w="1023" w:type="dxa"/>
            <w:vMerge w:val="restart"/>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复核人</w:t>
            </w:r>
          </w:p>
        </w:tc>
        <w:tc>
          <w:tcPr>
            <w:tcW w:w="1022" w:type="dxa"/>
            <w:vMerge w:val="restart"/>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计划完</w:t>
            </w:r>
          </w:p>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成日期</w:t>
            </w:r>
          </w:p>
        </w:tc>
        <w:tc>
          <w:tcPr>
            <w:tcW w:w="1168" w:type="dxa"/>
            <w:vMerge w:val="restart"/>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实际完</w:t>
            </w:r>
          </w:p>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成日期</w:t>
            </w:r>
          </w:p>
        </w:tc>
        <w:tc>
          <w:tcPr>
            <w:tcW w:w="5518" w:type="dxa"/>
            <w:gridSpan w:val="6"/>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计划审批层次</w:t>
            </w:r>
          </w:p>
        </w:tc>
        <w:tc>
          <w:tcPr>
            <w:tcW w:w="1346" w:type="dxa"/>
            <w:vMerge w:val="restart"/>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851" w:type="dxa"/>
            <w:vMerge w:val="continue"/>
          </w:tcPr>
          <w:p>
            <w:pPr>
              <w:spacing w:line="240" w:lineRule="auto"/>
              <w:ind w:firstLine="0" w:firstLineChars="0"/>
              <w:jc w:val="center"/>
              <w:rPr>
                <w:rFonts w:ascii="仿宋_GB2312" w:hAnsi="仿宋_GB2312" w:eastAsia="仿宋_GB2312"/>
                <w:color w:val="000000"/>
              </w:rPr>
            </w:pPr>
          </w:p>
        </w:tc>
        <w:tc>
          <w:tcPr>
            <w:tcW w:w="1821" w:type="dxa"/>
            <w:vMerge w:val="continue"/>
          </w:tcPr>
          <w:p>
            <w:pPr>
              <w:spacing w:line="240" w:lineRule="auto"/>
              <w:ind w:firstLine="0" w:firstLineChars="0"/>
              <w:jc w:val="center"/>
              <w:rPr>
                <w:rFonts w:ascii="仿宋_GB2312" w:hAnsi="仿宋_GB2312" w:eastAsia="仿宋_GB2312"/>
                <w:color w:val="000000"/>
              </w:rPr>
            </w:pPr>
          </w:p>
        </w:tc>
        <w:tc>
          <w:tcPr>
            <w:tcW w:w="1022" w:type="dxa"/>
            <w:vMerge w:val="continue"/>
            <w:vAlign w:val="center"/>
          </w:tcPr>
          <w:p>
            <w:pPr>
              <w:spacing w:line="240" w:lineRule="auto"/>
              <w:ind w:firstLine="0" w:firstLineChars="0"/>
              <w:jc w:val="center"/>
              <w:rPr>
                <w:rFonts w:ascii="仿宋_GB2312" w:hAnsi="仿宋_GB2312" w:eastAsia="仿宋_GB2312"/>
                <w:color w:val="000000"/>
              </w:rPr>
            </w:pPr>
          </w:p>
        </w:tc>
        <w:tc>
          <w:tcPr>
            <w:tcW w:w="1023" w:type="dxa"/>
            <w:vMerge w:val="continue"/>
            <w:vAlign w:val="center"/>
          </w:tcPr>
          <w:p>
            <w:pPr>
              <w:spacing w:line="240" w:lineRule="auto"/>
              <w:ind w:firstLine="0" w:firstLineChars="0"/>
              <w:jc w:val="center"/>
              <w:rPr>
                <w:rFonts w:ascii="仿宋_GB2312" w:hAnsi="仿宋_GB2312" w:eastAsia="仿宋_GB2312"/>
                <w:color w:val="000000"/>
              </w:rPr>
            </w:pPr>
          </w:p>
        </w:tc>
        <w:tc>
          <w:tcPr>
            <w:tcW w:w="1022" w:type="dxa"/>
            <w:vMerge w:val="continue"/>
            <w:vAlign w:val="center"/>
          </w:tcPr>
          <w:p>
            <w:pPr>
              <w:spacing w:line="240" w:lineRule="auto"/>
              <w:ind w:firstLine="0" w:firstLineChars="0"/>
              <w:jc w:val="center"/>
              <w:rPr>
                <w:rFonts w:ascii="仿宋_GB2312" w:hAnsi="仿宋_GB2312" w:eastAsia="仿宋_GB2312"/>
                <w:color w:val="000000"/>
              </w:rPr>
            </w:pPr>
          </w:p>
        </w:tc>
        <w:tc>
          <w:tcPr>
            <w:tcW w:w="1168" w:type="dxa"/>
            <w:vMerge w:val="continue"/>
            <w:vAlign w:val="center"/>
          </w:tcPr>
          <w:p>
            <w:pPr>
              <w:spacing w:line="240" w:lineRule="auto"/>
              <w:ind w:firstLine="0" w:firstLineChars="0"/>
              <w:jc w:val="center"/>
              <w:rPr>
                <w:rFonts w:ascii="仿宋_GB2312" w:hAnsi="仿宋_GB2312" w:eastAsia="仿宋_GB2312"/>
                <w:color w:val="000000"/>
              </w:rPr>
            </w:pPr>
          </w:p>
        </w:tc>
        <w:tc>
          <w:tcPr>
            <w:tcW w:w="1022" w:type="dxa"/>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工区</w:t>
            </w:r>
          </w:p>
        </w:tc>
        <w:tc>
          <w:tcPr>
            <w:tcW w:w="877" w:type="dxa"/>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苏州</w:t>
            </w:r>
          </w:p>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中车</w:t>
            </w:r>
          </w:p>
        </w:tc>
        <w:tc>
          <w:tcPr>
            <w:tcW w:w="876" w:type="dxa"/>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监理</w:t>
            </w:r>
          </w:p>
        </w:tc>
        <w:tc>
          <w:tcPr>
            <w:tcW w:w="1022" w:type="dxa"/>
            <w:vAlign w:val="center"/>
          </w:tcPr>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台中</w:t>
            </w:r>
          </w:p>
          <w:p>
            <w:pPr>
              <w:spacing w:line="240" w:lineRule="auto"/>
              <w:ind w:firstLine="0" w:firstLineChars="0"/>
              <w:jc w:val="center"/>
              <w:rPr>
                <w:rFonts w:ascii="仿宋_GB2312" w:hAnsi="仿宋_GB2312" w:eastAsia="仿宋_GB2312"/>
                <w:color w:val="000000"/>
              </w:rPr>
            </w:pPr>
            <w:r>
              <w:rPr>
                <w:rFonts w:hint="eastAsia" w:ascii="仿宋_GB2312" w:hAnsi="仿宋_GB2312" w:eastAsia="仿宋_GB2312"/>
                <w:color w:val="000000"/>
              </w:rPr>
              <w:t>轨道</w:t>
            </w:r>
          </w:p>
        </w:tc>
        <w:tc>
          <w:tcPr>
            <w:tcW w:w="877" w:type="dxa"/>
            <w:vAlign w:val="center"/>
          </w:tcPr>
          <w:p>
            <w:pPr>
              <w:spacing w:line="240" w:lineRule="auto"/>
              <w:ind w:firstLine="0" w:firstLineChars="0"/>
              <w:jc w:val="center"/>
              <w:rPr>
                <w:rFonts w:ascii="仿宋_GB2312" w:hAnsi="仿宋_GB2312" w:eastAsia="仿宋_GB2312"/>
                <w:color w:val="000000"/>
              </w:rPr>
            </w:pPr>
          </w:p>
        </w:tc>
        <w:tc>
          <w:tcPr>
            <w:tcW w:w="844" w:type="dxa"/>
            <w:vAlign w:val="center"/>
          </w:tcPr>
          <w:p>
            <w:pPr>
              <w:spacing w:line="240" w:lineRule="auto"/>
              <w:ind w:firstLine="0" w:firstLineChars="0"/>
              <w:jc w:val="center"/>
              <w:rPr>
                <w:rFonts w:ascii="仿宋_GB2312" w:hAnsi="仿宋_GB2312" w:eastAsia="仿宋_GB2312"/>
                <w:color w:val="000000"/>
              </w:rPr>
            </w:pPr>
          </w:p>
        </w:tc>
        <w:tc>
          <w:tcPr>
            <w:tcW w:w="1346" w:type="dxa"/>
            <w:vMerge w:val="continue"/>
          </w:tcPr>
          <w:p>
            <w:pPr>
              <w:spacing w:line="240" w:lineRule="auto"/>
              <w:ind w:firstLine="0" w:firstLineChars="0"/>
              <w:jc w:val="center"/>
              <w:rPr>
                <w:rFonts w:ascii="仿宋_GB2312" w:hAnsi="仿宋_GB2312" w:eastAsia="仿宋_GB2312"/>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tcPr>
          <w:p>
            <w:pPr>
              <w:spacing w:line="240" w:lineRule="auto"/>
              <w:ind w:firstLine="0" w:firstLineChars="0"/>
              <w:jc w:val="center"/>
              <w:rPr>
                <w:rFonts w:ascii="仿宋_GB2312" w:hAnsi="仿宋_GB2312" w:eastAsia="仿宋_GB2312"/>
                <w:color w:val="000000"/>
              </w:rPr>
            </w:pPr>
          </w:p>
        </w:tc>
        <w:tc>
          <w:tcPr>
            <w:tcW w:w="1821"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1023"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1168"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877" w:type="dxa"/>
          </w:tcPr>
          <w:p>
            <w:pPr>
              <w:spacing w:line="240" w:lineRule="auto"/>
              <w:ind w:firstLine="0" w:firstLineChars="0"/>
              <w:jc w:val="center"/>
              <w:rPr>
                <w:rFonts w:ascii="仿宋_GB2312" w:hAnsi="仿宋_GB2312" w:eastAsia="仿宋_GB2312"/>
                <w:color w:val="000000"/>
              </w:rPr>
            </w:pPr>
          </w:p>
        </w:tc>
        <w:tc>
          <w:tcPr>
            <w:tcW w:w="876"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877" w:type="dxa"/>
          </w:tcPr>
          <w:p>
            <w:pPr>
              <w:spacing w:line="240" w:lineRule="auto"/>
              <w:ind w:firstLine="0" w:firstLineChars="0"/>
              <w:jc w:val="center"/>
              <w:rPr>
                <w:rFonts w:ascii="仿宋_GB2312" w:hAnsi="仿宋_GB2312" w:eastAsia="仿宋_GB2312"/>
                <w:color w:val="000000"/>
              </w:rPr>
            </w:pPr>
          </w:p>
        </w:tc>
        <w:tc>
          <w:tcPr>
            <w:tcW w:w="844" w:type="dxa"/>
          </w:tcPr>
          <w:p>
            <w:pPr>
              <w:spacing w:line="240" w:lineRule="auto"/>
              <w:ind w:firstLine="0" w:firstLineChars="0"/>
              <w:jc w:val="center"/>
              <w:rPr>
                <w:rFonts w:ascii="仿宋_GB2312" w:hAnsi="仿宋_GB2312" w:eastAsia="仿宋_GB2312"/>
                <w:color w:val="000000"/>
              </w:rPr>
            </w:pPr>
          </w:p>
        </w:tc>
        <w:tc>
          <w:tcPr>
            <w:tcW w:w="1346" w:type="dxa"/>
          </w:tcPr>
          <w:p>
            <w:pPr>
              <w:spacing w:line="240" w:lineRule="auto"/>
              <w:ind w:firstLine="0" w:firstLineChars="0"/>
              <w:jc w:val="center"/>
              <w:rPr>
                <w:rFonts w:ascii="仿宋_GB2312" w:hAnsi="仿宋_GB2312" w:eastAsia="仿宋_GB2312"/>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51" w:type="dxa"/>
          </w:tcPr>
          <w:p>
            <w:pPr>
              <w:spacing w:line="240" w:lineRule="auto"/>
              <w:ind w:firstLine="0" w:firstLineChars="0"/>
              <w:jc w:val="center"/>
              <w:rPr>
                <w:rFonts w:ascii="仿宋_GB2312" w:hAnsi="仿宋_GB2312" w:eastAsia="仿宋_GB2312"/>
                <w:color w:val="000000"/>
              </w:rPr>
            </w:pPr>
          </w:p>
        </w:tc>
        <w:tc>
          <w:tcPr>
            <w:tcW w:w="1821"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1023"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1168"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877" w:type="dxa"/>
          </w:tcPr>
          <w:p>
            <w:pPr>
              <w:spacing w:line="240" w:lineRule="auto"/>
              <w:ind w:firstLine="0" w:firstLineChars="0"/>
              <w:jc w:val="center"/>
              <w:rPr>
                <w:rFonts w:ascii="仿宋_GB2312" w:hAnsi="仿宋_GB2312" w:eastAsia="仿宋_GB2312"/>
                <w:color w:val="000000"/>
              </w:rPr>
            </w:pPr>
          </w:p>
        </w:tc>
        <w:tc>
          <w:tcPr>
            <w:tcW w:w="876"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877" w:type="dxa"/>
          </w:tcPr>
          <w:p>
            <w:pPr>
              <w:spacing w:line="240" w:lineRule="auto"/>
              <w:ind w:firstLine="0" w:firstLineChars="0"/>
              <w:jc w:val="center"/>
              <w:rPr>
                <w:rFonts w:ascii="仿宋_GB2312" w:hAnsi="仿宋_GB2312" w:eastAsia="仿宋_GB2312"/>
                <w:color w:val="000000"/>
              </w:rPr>
            </w:pPr>
          </w:p>
        </w:tc>
        <w:tc>
          <w:tcPr>
            <w:tcW w:w="844" w:type="dxa"/>
          </w:tcPr>
          <w:p>
            <w:pPr>
              <w:spacing w:line="240" w:lineRule="auto"/>
              <w:ind w:firstLine="0" w:firstLineChars="0"/>
              <w:jc w:val="center"/>
              <w:rPr>
                <w:rFonts w:ascii="仿宋_GB2312" w:hAnsi="仿宋_GB2312" w:eastAsia="仿宋_GB2312"/>
                <w:color w:val="000000"/>
              </w:rPr>
            </w:pPr>
          </w:p>
        </w:tc>
        <w:tc>
          <w:tcPr>
            <w:tcW w:w="1346" w:type="dxa"/>
          </w:tcPr>
          <w:p>
            <w:pPr>
              <w:spacing w:line="240" w:lineRule="auto"/>
              <w:ind w:firstLine="0" w:firstLineChars="0"/>
              <w:jc w:val="center"/>
              <w:rPr>
                <w:rFonts w:ascii="仿宋_GB2312" w:hAnsi="仿宋_GB2312" w:eastAsia="仿宋_GB2312"/>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51" w:type="dxa"/>
          </w:tcPr>
          <w:p>
            <w:pPr>
              <w:spacing w:line="240" w:lineRule="auto"/>
              <w:ind w:firstLine="0" w:firstLineChars="0"/>
              <w:jc w:val="center"/>
              <w:rPr>
                <w:rFonts w:ascii="仿宋_GB2312" w:hAnsi="仿宋_GB2312" w:eastAsia="仿宋_GB2312"/>
                <w:color w:val="000000"/>
              </w:rPr>
            </w:pPr>
          </w:p>
        </w:tc>
        <w:tc>
          <w:tcPr>
            <w:tcW w:w="1821"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1023"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1168"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877" w:type="dxa"/>
          </w:tcPr>
          <w:p>
            <w:pPr>
              <w:spacing w:line="240" w:lineRule="auto"/>
              <w:ind w:firstLine="0" w:firstLineChars="0"/>
              <w:jc w:val="center"/>
              <w:rPr>
                <w:rFonts w:ascii="仿宋_GB2312" w:hAnsi="仿宋_GB2312" w:eastAsia="仿宋_GB2312"/>
                <w:color w:val="000000"/>
              </w:rPr>
            </w:pPr>
          </w:p>
        </w:tc>
        <w:tc>
          <w:tcPr>
            <w:tcW w:w="876"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877" w:type="dxa"/>
          </w:tcPr>
          <w:p>
            <w:pPr>
              <w:spacing w:line="240" w:lineRule="auto"/>
              <w:ind w:firstLine="0" w:firstLineChars="0"/>
              <w:jc w:val="center"/>
              <w:rPr>
                <w:rFonts w:ascii="仿宋_GB2312" w:hAnsi="仿宋_GB2312" w:eastAsia="仿宋_GB2312"/>
                <w:color w:val="000000"/>
              </w:rPr>
            </w:pPr>
          </w:p>
        </w:tc>
        <w:tc>
          <w:tcPr>
            <w:tcW w:w="844" w:type="dxa"/>
          </w:tcPr>
          <w:p>
            <w:pPr>
              <w:spacing w:line="240" w:lineRule="auto"/>
              <w:ind w:firstLine="0" w:firstLineChars="0"/>
              <w:jc w:val="center"/>
              <w:rPr>
                <w:rFonts w:ascii="仿宋_GB2312" w:hAnsi="仿宋_GB2312" w:eastAsia="仿宋_GB2312"/>
                <w:color w:val="000000"/>
              </w:rPr>
            </w:pPr>
          </w:p>
        </w:tc>
        <w:tc>
          <w:tcPr>
            <w:tcW w:w="1346" w:type="dxa"/>
          </w:tcPr>
          <w:p>
            <w:pPr>
              <w:spacing w:line="240" w:lineRule="auto"/>
              <w:ind w:firstLine="0" w:firstLineChars="0"/>
              <w:jc w:val="center"/>
              <w:rPr>
                <w:rFonts w:ascii="仿宋_GB2312" w:hAnsi="仿宋_GB2312" w:eastAsia="仿宋_GB2312"/>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51" w:type="dxa"/>
          </w:tcPr>
          <w:p>
            <w:pPr>
              <w:spacing w:line="240" w:lineRule="auto"/>
              <w:ind w:firstLine="0" w:firstLineChars="0"/>
              <w:jc w:val="center"/>
              <w:rPr>
                <w:rFonts w:ascii="仿宋_GB2312" w:hAnsi="仿宋_GB2312" w:eastAsia="仿宋_GB2312"/>
                <w:color w:val="000000"/>
              </w:rPr>
            </w:pPr>
          </w:p>
        </w:tc>
        <w:tc>
          <w:tcPr>
            <w:tcW w:w="1821"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1023"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1168"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877" w:type="dxa"/>
          </w:tcPr>
          <w:p>
            <w:pPr>
              <w:spacing w:line="240" w:lineRule="auto"/>
              <w:ind w:firstLine="0" w:firstLineChars="0"/>
              <w:jc w:val="center"/>
              <w:rPr>
                <w:rFonts w:ascii="仿宋_GB2312" w:hAnsi="仿宋_GB2312" w:eastAsia="仿宋_GB2312"/>
                <w:color w:val="000000"/>
              </w:rPr>
            </w:pPr>
          </w:p>
        </w:tc>
        <w:tc>
          <w:tcPr>
            <w:tcW w:w="876" w:type="dxa"/>
          </w:tcPr>
          <w:p>
            <w:pPr>
              <w:spacing w:line="240" w:lineRule="auto"/>
              <w:ind w:firstLine="0" w:firstLineChars="0"/>
              <w:jc w:val="center"/>
              <w:rPr>
                <w:rFonts w:ascii="仿宋_GB2312" w:hAnsi="仿宋_GB2312" w:eastAsia="仿宋_GB2312"/>
                <w:color w:val="000000"/>
              </w:rPr>
            </w:pPr>
          </w:p>
        </w:tc>
        <w:tc>
          <w:tcPr>
            <w:tcW w:w="1022" w:type="dxa"/>
          </w:tcPr>
          <w:p>
            <w:pPr>
              <w:spacing w:line="240" w:lineRule="auto"/>
              <w:ind w:firstLine="0" w:firstLineChars="0"/>
              <w:jc w:val="center"/>
              <w:rPr>
                <w:rFonts w:ascii="仿宋_GB2312" w:hAnsi="仿宋_GB2312" w:eastAsia="仿宋_GB2312"/>
                <w:color w:val="000000"/>
              </w:rPr>
            </w:pPr>
          </w:p>
        </w:tc>
        <w:tc>
          <w:tcPr>
            <w:tcW w:w="877" w:type="dxa"/>
          </w:tcPr>
          <w:p>
            <w:pPr>
              <w:spacing w:line="240" w:lineRule="auto"/>
              <w:ind w:firstLine="0" w:firstLineChars="0"/>
              <w:jc w:val="center"/>
              <w:rPr>
                <w:rFonts w:ascii="仿宋_GB2312" w:hAnsi="仿宋_GB2312" w:eastAsia="仿宋_GB2312"/>
                <w:color w:val="000000"/>
              </w:rPr>
            </w:pPr>
          </w:p>
        </w:tc>
        <w:tc>
          <w:tcPr>
            <w:tcW w:w="844" w:type="dxa"/>
          </w:tcPr>
          <w:p>
            <w:pPr>
              <w:spacing w:line="240" w:lineRule="auto"/>
              <w:ind w:firstLine="0" w:firstLineChars="0"/>
              <w:jc w:val="center"/>
              <w:rPr>
                <w:rFonts w:ascii="仿宋_GB2312" w:hAnsi="仿宋_GB2312" w:eastAsia="仿宋_GB2312"/>
                <w:color w:val="000000"/>
              </w:rPr>
            </w:pPr>
          </w:p>
        </w:tc>
        <w:tc>
          <w:tcPr>
            <w:tcW w:w="1346" w:type="dxa"/>
          </w:tcPr>
          <w:p>
            <w:pPr>
              <w:spacing w:line="240" w:lineRule="auto"/>
              <w:ind w:firstLine="0" w:firstLineChars="0"/>
              <w:jc w:val="center"/>
              <w:rPr>
                <w:rFonts w:ascii="仿宋_GB2312" w:hAnsi="仿宋_GB2312" w:eastAsia="仿宋_GB2312"/>
                <w:color w:val="000000"/>
              </w:rPr>
            </w:pPr>
          </w:p>
        </w:tc>
      </w:tr>
    </w:tbl>
    <w:p>
      <w:pPr>
        <w:spacing w:line="500" w:lineRule="exact"/>
        <w:ind w:firstLine="0" w:firstLineChars="0"/>
        <w:rPr>
          <w:rFonts w:ascii="宋体" w:hAnsi="宋体" w:eastAsia="宋体"/>
          <w:color w:val="000000"/>
        </w:rPr>
      </w:pPr>
      <w:r>
        <w:rPr>
          <w:rFonts w:hint="eastAsia" w:ascii="宋体" w:hAnsi="宋体" w:eastAsia="宋体" w:cs="宋体"/>
          <w:color w:val="000000"/>
        </w:rPr>
        <w:t>编制</w:t>
      </w:r>
      <w:r>
        <w:rPr>
          <w:rFonts w:hint="eastAsia" w:ascii="宋体" w:hAnsi="宋体" w:eastAsia="宋体"/>
          <w:color w:val="000000"/>
        </w:rPr>
        <w:t>／日期：                      复核／日期（工程部长）：              批准／日期（总承包项目部总工程师）：</w:t>
      </w:r>
    </w:p>
    <w:p>
      <w:pPr>
        <w:ind w:firstLine="0" w:firstLineChars="0"/>
      </w:pPr>
    </w:p>
    <w:p>
      <w:pPr>
        <w:ind w:firstLine="0" w:firstLineChars="0"/>
      </w:pPr>
      <w:r>
        <w:rPr>
          <w:rFonts w:hint="eastAsia"/>
        </w:rPr>
        <w:t>说明：1.本表由工区负责填写。在工区实施性施工组织设计编制阶段编制完成，并与施组一同上报审批（可</w:t>
      </w:r>
      <w:r>
        <w:rPr>
          <w:rFonts w:hint="eastAsia"/>
          <w:lang w:val="en-US" w:eastAsia="zh-CN"/>
        </w:rPr>
        <w:t>作</w:t>
      </w:r>
      <w:r>
        <w:rPr>
          <w:rFonts w:hint="eastAsia"/>
        </w:rPr>
        <w:t>为施组的附件）。2.专项施工方案编制审批计划表只填报危险性较大的分部分项工程专项方案以及超过一定规模的危险性较大的分部分项工程专项方案。3. 审批层次填写时，在需要审批的单位相应表格中填“√”。</w:t>
      </w:r>
    </w:p>
    <w:p>
      <w:pPr>
        <w:adjustRightInd w:val="0"/>
        <w:spacing w:line="240" w:lineRule="auto"/>
        <w:ind w:firstLine="0" w:firstLineChars="0"/>
        <w:jc w:val="left"/>
        <w:textAlignment w:val="baseline"/>
        <w:rPr>
          <w:rFonts w:ascii="仿宋_GB2312" w:hAnsi="黑体" w:eastAsia="仿宋_GB2312" w:cs="仿宋_GB2312"/>
        </w:rPr>
      </w:pPr>
      <w:r>
        <w:rPr>
          <w:rFonts w:ascii="仿宋_GB2312" w:hAnsi="仿宋_GB2312" w:cs="仿宋_GB2312"/>
          <w:szCs w:val="32"/>
        </w:rPr>
        <w:br w:type="page"/>
      </w:r>
      <w:r>
        <w:rPr>
          <w:rFonts w:hint="eastAsia" w:ascii="宋体" w:hAnsi="宋体" w:eastAsia="宋体" w:cs="Calibri"/>
          <w:b/>
          <w:bCs/>
          <w:szCs w:val="21"/>
        </w:rPr>
        <w:t>附件</w:t>
      </w:r>
      <w:r>
        <w:rPr>
          <w:rFonts w:ascii="宋体" w:hAnsi="宋体" w:eastAsia="宋体" w:cs="Calibri"/>
          <w:b/>
          <w:bCs/>
          <w:szCs w:val="21"/>
        </w:rPr>
        <w:t>3</w:t>
      </w:r>
    </w:p>
    <w:p>
      <w:pPr>
        <w:pStyle w:val="4"/>
        <w:spacing w:before="0" w:after="0" w:line="432" w:lineRule="auto"/>
        <w:ind w:firstLine="0" w:firstLineChars="0"/>
        <w:jc w:val="center"/>
        <w:rPr>
          <w:rFonts w:hint="eastAsia" w:ascii="宋体" w:hAnsi="宋体" w:eastAsia="宋体"/>
          <w:b w:val="0"/>
          <w:sz w:val="24"/>
          <w:szCs w:val="24"/>
          <w:lang w:eastAsia="zh-CN"/>
        </w:rPr>
      </w:pPr>
      <w:r>
        <w:rPr>
          <w:rFonts w:hint="eastAsia" w:ascii="宋体" w:hAnsi="宋体" w:eastAsia="宋体"/>
          <w:b w:val="0"/>
          <w:sz w:val="24"/>
          <w:szCs w:val="24"/>
        </w:rPr>
        <w:t>专项施工方案管理</w:t>
      </w:r>
      <w:r>
        <w:rPr>
          <w:rFonts w:hint="eastAsia" w:ascii="宋体" w:hAnsi="宋体" w:eastAsia="宋体"/>
          <w:b w:val="0"/>
          <w:sz w:val="24"/>
          <w:szCs w:val="24"/>
          <w:lang w:eastAsia="zh-CN"/>
        </w:rPr>
        <w:t>台账</w:t>
      </w:r>
    </w:p>
    <w:tbl>
      <w:tblPr>
        <w:tblStyle w:val="22"/>
        <w:tblW w:w="14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2745"/>
        <w:gridCol w:w="993"/>
        <w:gridCol w:w="992"/>
        <w:gridCol w:w="782"/>
        <w:gridCol w:w="984"/>
        <w:gridCol w:w="927"/>
        <w:gridCol w:w="709"/>
        <w:gridCol w:w="992"/>
        <w:gridCol w:w="774"/>
        <w:gridCol w:w="850"/>
        <w:gridCol w:w="709"/>
        <w:gridCol w:w="709"/>
        <w:gridCol w:w="785"/>
        <w:gridCol w:w="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40" w:type="dxa"/>
            <w:gridSpan w:val="11"/>
            <w:vMerge w:val="restart"/>
            <w:vAlign w:val="center"/>
          </w:tcPr>
          <w:p>
            <w:pPr>
              <w:spacing w:line="240" w:lineRule="auto"/>
              <w:ind w:firstLine="0" w:firstLineChars="0"/>
              <w:jc w:val="center"/>
              <w:rPr>
                <w:rFonts w:hint="eastAsia" w:ascii="宋体" w:hAnsi="宋体" w:eastAsia="宋体"/>
                <w:color w:val="000000"/>
                <w:lang w:eastAsia="zh-CN"/>
              </w:rPr>
            </w:pPr>
            <w:r>
              <w:rPr>
                <w:rFonts w:ascii="宋体" w:hAnsi="宋体" w:eastAsia="宋体"/>
                <w:color w:val="000000"/>
              </w:rPr>
              <w:br w:type="page"/>
            </w:r>
            <w:r>
              <w:rPr>
                <w:rFonts w:hint="eastAsia" w:ascii="宋体" w:hAnsi="宋体" w:eastAsia="宋体"/>
                <w:color w:val="000000"/>
              </w:rPr>
              <w:t>专项施工方案管理</w:t>
            </w:r>
            <w:r>
              <w:rPr>
                <w:rFonts w:hint="eastAsia" w:ascii="宋体" w:hAnsi="宋体" w:eastAsia="宋体"/>
                <w:color w:val="000000"/>
                <w:lang w:eastAsia="zh-CN"/>
              </w:rPr>
              <w:t>台账</w:t>
            </w:r>
          </w:p>
        </w:tc>
        <w:tc>
          <w:tcPr>
            <w:tcW w:w="2952" w:type="dxa"/>
            <w:gridSpan w:val="4"/>
            <w:vAlign w:val="center"/>
          </w:tcPr>
          <w:p>
            <w:pPr>
              <w:spacing w:line="240" w:lineRule="auto"/>
              <w:ind w:firstLine="0" w:firstLineChars="0"/>
              <w:jc w:val="center"/>
              <w:rPr>
                <w:rFonts w:ascii="宋体" w:hAnsi="宋体" w:eastAsia="宋体"/>
                <w:color w:val="000000"/>
              </w:rPr>
            </w:pPr>
            <w:r>
              <w:rPr>
                <w:rFonts w:hint="eastAsia" w:ascii="宋体" w:hAnsi="宋体" w:eastAsia="宋体"/>
                <w:color w:val="000000"/>
              </w:rPr>
              <w:t>表格编号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340" w:type="dxa"/>
            <w:gridSpan w:val="11"/>
            <w:vMerge w:val="continue"/>
            <w:vAlign w:val="center"/>
          </w:tcPr>
          <w:p>
            <w:pPr>
              <w:spacing w:line="240" w:lineRule="auto"/>
              <w:ind w:firstLine="0" w:firstLineChars="0"/>
              <w:jc w:val="center"/>
              <w:rPr>
                <w:rFonts w:ascii="宋体" w:hAnsi="宋体" w:eastAsia="宋体"/>
                <w:color w:val="000000"/>
              </w:rPr>
            </w:pPr>
          </w:p>
        </w:tc>
        <w:tc>
          <w:tcPr>
            <w:tcW w:w="2952" w:type="dxa"/>
            <w:gridSpan w:val="4"/>
            <w:vAlign w:val="center"/>
          </w:tcPr>
          <w:p>
            <w:pPr>
              <w:spacing w:line="240" w:lineRule="auto"/>
              <w:ind w:firstLine="0" w:firstLineChars="0"/>
              <w:jc w:val="center"/>
              <w:rPr>
                <w:rFonts w:ascii="宋体" w:hAnsi="宋体" w:eastAsia="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340" w:type="dxa"/>
            <w:gridSpan w:val="11"/>
            <w:vAlign w:val="center"/>
          </w:tcPr>
          <w:p>
            <w:pPr>
              <w:spacing w:line="240" w:lineRule="auto"/>
              <w:ind w:firstLine="0" w:firstLineChars="0"/>
              <w:rPr>
                <w:rFonts w:ascii="宋体" w:hAnsi="宋体" w:eastAsia="宋体"/>
                <w:color w:val="000000"/>
              </w:rPr>
            </w:pPr>
            <w:r>
              <w:rPr>
                <w:rFonts w:hint="eastAsia" w:ascii="宋体" w:hAnsi="宋体" w:eastAsia="宋体"/>
                <w:color w:val="000000"/>
              </w:rPr>
              <w:t>项目名称：</w:t>
            </w:r>
          </w:p>
        </w:tc>
        <w:tc>
          <w:tcPr>
            <w:tcW w:w="2952" w:type="dxa"/>
            <w:gridSpan w:val="4"/>
            <w:vAlign w:val="center"/>
          </w:tcPr>
          <w:p>
            <w:pPr>
              <w:spacing w:line="240" w:lineRule="auto"/>
              <w:ind w:firstLine="0" w:firstLineChars="0"/>
              <w:rPr>
                <w:rFonts w:ascii="宋体" w:hAnsi="宋体" w:eastAsia="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2" w:type="dxa"/>
            <w:vMerge w:val="restart"/>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序号</w:t>
            </w:r>
          </w:p>
        </w:tc>
        <w:tc>
          <w:tcPr>
            <w:tcW w:w="2745" w:type="dxa"/>
            <w:vMerge w:val="restart"/>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名    称</w:t>
            </w:r>
          </w:p>
        </w:tc>
        <w:tc>
          <w:tcPr>
            <w:tcW w:w="993" w:type="dxa"/>
            <w:vMerge w:val="restart"/>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计划编制完成时间</w:t>
            </w:r>
          </w:p>
        </w:tc>
        <w:tc>
          <w:tcPr>
            <w:tcW w:w="992" w:type="dxa"/>
            <w:vMerge w:val="restart"/>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实际编制完成时间</w:t>
            </w:r>
          </w:p>
        </w:tc>
        <w:tc>
          <w:tcPr>
            <w:tcW w:w="6018" w:type="dxa"/>
            <w:gridSpan w:val="7"/>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自评/审批时间</w:t>
            </w:r>
          </w:p>
        </w:tc>
        <w:tc>
          <w:tcPr>
            <w:tcW w:w="709" w:type="dxa"/>
            <w:vMerge w:val="restart"/>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是否交底</w:t>
            </w:r>
          </w:p>
        </w:tc>
        <w:tc>
          <w:tcPr>
            <w:tcW w:w="709" w:type="dxa"/>
            <w:vMerge w:val="restart"/>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是否发放</w:t>
            </w:r>
          </w:p>
        </w:tc>
        <w:tc>
          <w:tcPr>
            <w:tcW w:w="785" w:type="dxa"/>
            <w:vMerge w:val="restart"/>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是否调整</w:t>
            </w:r>
          </w:p>
        </w:tc>
        <w:tc>
          <w:tcPr>
            <w:tcW w:w="749" w:type="dxa"/>
            <w:vMerge w:val="restart"/>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592" w:type="dxa"/>
            <w:vMerge w:val="continue"/>
            <w:vAlign w:val="center"/>
          </w:tcPr>
          <w:p>
            <w:pPr>
              <w:adjustRightInd w:val="0"/>
              <w:snapToGrid w:val="0"/>
              <w:spacing w:line="240" w:lineRule="auto"/>
              <w:ind w:firstLine="0" w:firstLineChars="0"/>
              <w:jc w:val="center"/>
              <w:rPr>
                <w:rFonts w:ascii="宋体" w:hAnsi="宋体" w:eastAsia="宋体"/>
                <w:color w:val="000000"/>
              </w:rPr>
            </w:pPr>
          </w:p>
        </w:tc>
        <w:tc>
          <w:tcPr>
            <w:tcW w:w="2745" w:type="dxa"/>
            <w:vMerge w:val="continue"/>
            <w:vAlign w:val="center"/>
          </w:tcPr>
          <w:p>
            <w:pPr>
              <w:adjustRightInd w:val="0"/>
              <w:snapToGrid w:val="0"/>
              <w:spacing w:line="240" w:lineRule="auto"/>
              <w:ind w:firstLine="0" w:firstLineChars="0"/>
              <w:jc w:val="center"/>
              <w:rPr>
                <w:rFonts w:ascii="宋体" w:hAnsi="宋体" w:eastAsia="宋体"/>
                <w:color w:val="000000"/>
              </w:rPr>
            </w:pPr>
          </w:p>
        </w:tc>
        <w:tc>
          <w:tcPr>
            <w:tcW w:w="993" w:type="dxa"/>
            <w:vMerge w:val="continue"/>
            <w:vAlign w:val="center"/>
          </w:tcPr>
          <w:p>
            <w:pPr>
              <w:adjustRightInd w:val="0"/>
              <w:snapToGrid w:val="0"/>
              <w:spacing w:line="240" w:lineRule="auto"/>
              <w:ind w:firstLine="0" w:firstLineChars="0"/>
              <w:jc w:val="center"/>
              <w:rPr>
                <w:rFonts w:ascii="宋体" w:hAnsi="宋体" w:eastAsia="宋体"/>
                <w:color w:val="000000"/>
              </w:rPr>
            </w:pPr>
          </w:p>
        </w:tc>
        <w:tc>
          <w:tcPr>
            <w:tcW w:w="992" w:type="dxa"/>
            <w:vMerge w:val="continue"/>
            <w:vAlign w:val="center"/>
          </w:tcPr>
          <w:p>
            <w:pPr>
              <w:adjustRightInd w:val="0"/>
              <w:snapToGrid w:val="0"/>
              <w:spacing w:line="240" w:lineRule="auto"/>
              <w:ind w:firstLine="0" w:firstLineChars="0"/>
              <w:jc w:val="center"/>
              <w:rPr>
                <w:rFonts w:ascii="宋体" w:hAnsi="宋体" w:eastAsia="宋体"/>
                <w:color w:val="000000"/>
              </w:rPr>
            </w:pPr>
          </w:p>
        </w:tc>
        <w:tc>
          <w:tcPr>
            <w:tcW w:w="782" w:type="dxa"/>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工区</w:t>
            </w:r>
          </w:p>
        </w:tc>
        <w:tc>
          <w:tcPr>
            <w:tcW w:w="984" w:type="dxa"/>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总承包项目部</w:t>
            </w:r>
          </w:p>
        </w:tc>
        <w:tc>
          <w:tcPr>
            <w:tcW w:w="927" w:type="dxa"/>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苏州</w:t>
            </w:r>
          </w:p>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中车</w:t>
            </w:r>
          </w:p>
        </w:tc>
        <w:tc>
          <w:tcPr>
            <w:tcW w:w="709" w:type="dxa"/>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监理</w:t>
            </w:r>
          </w:p>
        </w:tc>
        <w:tc>
          <w:tcPr>
            <w:tcW w:w="992" w:type="dxa"/>
            <w:vAlign w:val="center"/>
          </w:tcPr>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台州</w:t>
            </w:r>
          </w:p>
          <w:p>
            <w:pPr>
              <w:adjustRightInd w:val="0"/>
              <w:snapToGrid w:val="0"/>
              <w:spacing w:line="240" w:lineRule="auto"/>
              <w:ind w:firstLine="0" w:firstLineChars="0"/>
              <w:jc w:val="center"/>
              <w:rPr>
                <w:rFonts w:ascii="宋体" w:hAnsi="宋体" w:eastAsia="宋体"/>
                <w:color w:val="000000"/>
              </w:rPr>
            </w:pPr>
            <w:r>
              <w:rPr>
                <w:rFonts w:hint="eastAsia" w:ascii="宋体" w:hAnsi="宋体" w:eastAsia="宋体"/>
                <w:color w:val="000000"/>
              </w:rPr>
              <w:t>台中</w:t>
            </w:r>
          </w:p>
        </w:tc>
        <w:tc>
          <w:tcPr>
            <w:tcW w:w="774" w:type="dxa"/>
            <w:vAlign w:val="center"/>
          </w:tcPr>
          <w:p>
            <w:pPr>
              <w:adjustRightInd w:val="0"/>
              <w:snapToGrid w:val="0"/>
              <w:spacing w:line="240" w:lineRule="auto"/>
              <w:ind w:firstLine="0" w:firstLineChars="0"/>
              <w:jc w:val="center"/>
              <w:rPr>
                <w:rFonts w:ascii="宋体" w:hAnsi="宋体" w:eastAsia="宋体"/>
                <w:color w:val="000000"/>
              </w:rPr>
            </w:pPr>
          </w:p>
        </w:tc>
        <w:tc>
          <w:tcPr>
            <w:tcW w:w="850" w:type="dxa"/>
            <w:vAlign w:val="center"/>
          </w:tcPr>
          <w:p>
            <w:pPr>
              <w:adjustRightInd w:val="0"/>
              <w:snapToGrid w:val="0"/>
              <w:spacing w:line="240" w:lineRule="auto"/>
              <w:ind w:firstLine="0" w:firstLineChars="0"/>
              <w:jc w:val="center"/>
              <w:rPr>
                <w:rFonts w:ascii="宋体" w:hAnsi="宋体" w:eastAsia="宋体"/>
                <w:color w:val="000000"/>
              </w:rPr>
            </w:pPr>
          </w:p>
        </w:tc>
        <w:tc>
          <w:tcPr>
            <w:tcW w:w="709" w:type="dxa"/>
            <w:vMerge w:val="continue"/>
            <w:vAlign w:val="center"/>
          </w:tcPr>
          <w:p>
            <w:pPr>
              <w:adjustRightInd w:val="0"/>
              <w:snapToGrid w:val="0"/>
              <w:spacing w:line="240" w:lineRule="auto"/>
              <w:ind w:firstLine="0" w:firstLineChars="0"/>
              <w:jc w:val="center"/>
              <w:rPr>
                <w:rFonts w:ascii="宋体" w:hAnsi="宋体" w:eastAsia="宋体"/>
                <w:color w:val="000000"/>
              </w:rPr>
            </w:pPr>
          </w:p>
        </w:tc>
        <w:tc>
          <w:tcPr>
            <w:tcW w:w="709" w:type="dxa"/>
            <w:vMerge w:val="continue"/>
            <w:vAlign w:val="center"/>
          </w:tcPr>
          <w:p>
            <w:pPr>
              <w:adjustRightInd w:val="0"/>
              <w:snapToGrid w:val="0"/>
              <w:spacing w:line="240" w:lineRule="auto"/>
              <w:ind w:firstLine="0" w:firstLineChars="0"/>
              <w:jc w:val="center"/>
              <w:rPr>
                <w:rFonts w:ascii="宋体" w:hAnsi="宋体" w:eastAsia="宋体"/>
                <w:color w:val="000000"/>
              </w:rPr>
            </w:pPr>
          </w:p>
        </w:tc>
        <w:tc>
          <w:tcPr>
            <w:tcW w:w="785" w:type="dxa"/>
            <w:vMerge w:val="continue"/>
            <w:vAlign w:val="center"/>
          </w:tcPr>
          <w:p>
            <w:pPr>
              <w:adjustRightInd w:val="0"/>
              <w:snapToGrid w:val="0"/>
              <w:spacing w:line="240" w:lineRule="auto"/>
              <w:ind w:firstLine="0" w:firstLineChars="0"/>
              <w:jc w:val="center"/>
              <w:rPr>
                <w:rFonts w:ascii="宋体" w:hAnsi="宋体" w:eastAsia="宋体"/>
                <w:color w:val="000000"/>
              </w:rPr>
            </w:pPr>
          </w:p>
        </w:tc>
        <w:tc>
          <w:tcPr>
            <w:tcW w:w="749" w:type="dxa"/>
            <w:vMerge w:val="continue"/>
            <w:vAlign w:val="center"/>
          </w:tcPr>
          <w:p>
            <w:pPr>
              <w:adjustRightInd w:val="0"/>
              <w:snapToGrid w:val="0"/>
              <w:spacing w:line="240" w:lineRule="auto"/>
              <w:ind w:firstLine="0" w:firstLineChars="0"/>
              <w:jc w:val="center"/>
              <w:rPr>
                <w:rFonts w:ascii="宋体" w:hAnsi="宋体" w:eastAsia="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dxa"/>
            <w:vAlign w:val="center"/>
          </w:tcPr>
          <w:p>
            <w:pPr>
              <w:adjustRightInd w:val="0"/>
              <w:snapToGrid w:val="0"/>
              <w:spacing w:line="240" w:lineRule="auto"/>
              <w:ind w:firstLine="0" w:firstLineChars="0"/>
              <w:jc w:val="center"/>
              <w:rPr>
                <w:rFonts w:ascii="宋体" w:hAnsi="宋体" w:eastAsia="宋体"/>
                <w:color w:val="000000"/>
              </w:rPr>
            </w:pPr>
          </w:p>
        </w:tc>
        <w:tc>
          <w:tcPr>
            <w:tcW w:w="2745" w:type="dxa"/>
            <w:vAlign w:val="center"/>
          </w:tcPr>
          <w:p>
            <w:pPr>
              <w:adjustRightInd w:val="0"/>
              <w:snapToGrid w:val="0"/>
              <w:spacing w:line="240" w:lineRule="auto"/>
              <w:ind w:firstLine="0" w:firstLineChars="0"/>
              <w:jc w:val="center"/>
              <w:rPr>
                <w:rFonts w:ascii="宋体" w:hAnsi="宋体" w:eastAsia="宋体"/>
                <w:color w:val="000000"/>
              </w:rPr>
            </w:pPr>
          </w:p>
        </w:tc>
        <w:tc>
          <w:tcPr>
            <w:tcW w:w="993" w:type="dxa"/>
            <w:vAlign w:val="center"/>
          </w:tcPr>
          <w:p>
            <w:pPr>
              <w:adjustRightInd w:val="0"/>
              <w:snapToGrid w:val="0"/>
              <w:spacing w:line="240" w:lineRule="auto"/>
              <w:ind w:firstLine="0" w:firstLineChars="0"/>
              <w:jc w:val="center"/>
              <w:rPr>
                <w:rFonts w:ascii="宋体" w:hAnsi="宋体" w:eastAsia="宋体"/>
                <w:color w:val="000000"/>
              </w:rPr>
            </w:pPr>
          </w:p>
        </w:tc>
        <w:tc>
          <w:tcPr>
            <w:tcW w:w="992" w:type="dxa"/>
            <w:vAlign w:val="center"/>
          </w:tcPr>
          <w:p>
            <w:pPr>
              <w:adjustRightInd w:val="0"/>
              <w:snapToGrid w:val="0"/>
              <w:spacing w:line="240" w:lineRule="auto"/>
              <w:ind w:firstLine="0" w:firstLineChars="0"/>
              <w:jc w:val="center"/>
              <w:rPr>
                <w:rFonts w:ascii="宋体" w:hAnsi="宋体" w:eastAsia="宋体"/>
                <w:color w:val="000000"/>
              </w:rPr>
            </w:pPr>
          </w:p>
        </w:tc>
        <w:tc>
          <w:tcPr>
            <w:tcW w:w="782" w:type="dxa"/>
            <w:vAlign w:val="center"/>
          </w:tcPr>
          <w:p>
            <w:pPr>
              <w:adjustRightInd w:val="0"/>
              <w:snapToGrid w:val="0"/>
              <w:spacing w:line="240" w:lineRule="auto"/>
              <w:ind w:firstLine="0" w:firstLineChars="0"/>
              <w:jc w:val="center"/>
              <w:rPr>
                <w:rFonts w:ascii="宋体" w:hAnsi="宋体" w:eastAsia="宋体"/>
                <w:color w:val="000000"/>
              </w:rPr>
            </w:pPr>
          </w:p>
        </w:tc>
        <w:tc>
          <w:tcPr>
            <w:tcW w:w="984" w:type="dxa"/>
            <w:vAlign w:val="center"/>
          </w:tcPr>
          <w:p>
            <w:pPr>
              <w:adjustRightInd w:val="0"/>
              <w:snapToGrid w:val="0"/>
              <w:spacing w:line="240" w:lineRule="auto"/>
              <w:ind w:firstLine="0" w:firstLineChars="0"/>
              <w:jc w:val="center"/>
              <w:rPr>
                <w:rFonts w:ascii="宋体" w:hAnsi="宋体" w:eastAsia="宋体"/>
                <w:color w:val="000000"/>
              </w:rPr>
            </w:pPr>
          </w:p>
        </w:tc>
        <w:tc>
          <w:tcPr>
            <w:tcW w:w="927" w:type="dxa"/>
            <w:vAlign w:val="center"/>
          </w:tcPr>
          <w:p>
            <w:pPr>
              <w:adjustRightInd w:val="0"/>
              <w:snapToGrid w:val="0"/>
              <w:spacing w:line="240" w:lineRule="auto"/>
              <w:ind w:firstLine="0" w:firstLineChars="0"/>
              <w:jc w:val="center"/>
              <w:rPr>
                <w:rFonts w:ascii="宋体" w:hAnsi="宋体" w:eastAsia="宋体"/>
                <w:color w:val="000000"/>
              </w:rPr>
            </w:pPr>
          </w:p>
        </w:tc>
        <w:tc>
          <w:tcPr>
            <w:tcW w:w="709" w:type="dxa"/>
            <w:vAlign w:val="center"/>
          </w:tcPr>
          <w:p>
            <w:pPr>
              <w:adjustRightInd w:val="0"/>
              <w:snapToGrid w:val="0"/>
              <w:spacing w:line="240" w:lineRule="auto"/>
              <w:ind w:firstLine="0" w:firstLineChars="0"/>
              <w:jc w:val="center"/>
              <w:rPr>
                <w:rFonts w:ascii="宋体" w:hAnsi="宋体" w:eastAsia="宋体"/>
                <w:color w:val="000000"/>
              </w:rPr>
            </w:pPr>
          </w:p>
        </w:tc>
        <w:tc>
          <w:tcPr>
            <w:tcW w:w="992" w:type="dxa"/>
            <w:vAlign w:val="center"/>
          </w:tcPr>
          <w:p>
            <w:pPr>
              <w:adjustRightInd w:val="0"/>
              <w:snapToGrid w:val="0"/>
              <w:spacing w:line="240" w:lineRule="auto"/>
              <w:ind w:firstLine="0" w:firstLineChars="0"/>
              <w:jc w:val="center"/>
              <w:rPr>
                <w:rFonts w:ascii="宋体" w:hAnsi="宋体" w:eastAsia="宋体"/>
                <w:color w:val="000000"/>
              </w:rPr>
            </w:pPr>
          </w:p>
        </w:tc>
        <w:tc>
          <w:tcPr>
            <w:tcW w:w="774" w:type="dxa"/>
            <w:vAlign w:val="center"/>
          </w:tcPr>
          <w:p>
            <w:pPr>
              <w:adjustRightInd w:val="0"/>
              <w:snapToGrid w:val="0"/>
              <w:spacing w:line="240" w:lineRule="auto"/>
              <w:ind w:firstLine="0" w:firstLineChars="0"/>
              <w:jc w:val="center"/>
              <w:rPr>
                <w:rFonts w:ascii="宋体" w:hAnsi="宋体" w:eastAsia="宋体"/>
                <w:color w:val="000000"/>
              </w:rPr>
            </w:pPr>
          </w:p>
        </w:tc>
        <w:tc>
          <w:tcPr>
            <w:tcW w:w="850" w:type="dxa"/>
            <w:vAlign w:val="center"/>
          </w:tcPr>
          <w:p>
            <w:pPr>
              <w:adjustRightInd w:val="0"/>
              <w:snapToGrid w:val="0"/>
              <w:spacing w:line="240" w:lineRule="auto"/>
              <w:ind w:firstLine="0" w:firstLineChars="0"/>
              <w:jc w:val="center"/>
              <w:rPr>
                <w:rFonts w:ascii="宋体" w:hAnsi="宋体" w:eastAsia="宋体"/>
                <w:color w:val="000000"/>
              </w:rPr>
            </w:pPr>
          </w:p>
        </w:tc>
        <w:tc>
          <w:tcPr>
            <w:tcW w:w="709" w:type="dxa"/>
            <w:vAlign w:val="center"/>
          </w:tcPr>
          <w:p>
            <w:pPr>
              <w:adjustRightInd w:val="0"/>
              <w:snapToGrid w:val="0"/>
              <w:spacing w:line="240" w:lineRule="auto"/>
              <w:ind w:firstLine="0" w:firstLineChars="0"/>
              <w:jc w:val="center"/>
              <w:rPr>
                <w:rFonts w:ascii="宋体" w:hAnsi="宋体" w:eastAsia="宋体"/>
                <w:color w:val="000000"/>
              </w:rPr>
            </w:pPr>
          </w:p>
        </w:tc>
        <w:tc>
          <w:tcPr>
            <w:tcW w:w="709" w:type="dxa"/>
            <w:vAlign w:val="center"/>
          </w:tcPr>
          <w:p>
            <w:pPr>
              <w:adjustRightInd w:val="0"/>
              <w:snapToGrid w:val="0"/>
              <w:spacing w:line="240" w:lineRule="auto"/>
              <w:ind w:firstLine="0" w:firstLineChars="0"/>
              <w:jc w:val="center"/>
              <w:rPr>
                <w:rFonts w:ascii="宋体" w:hAnsi="宋体" w:eastAsia="宋体"/>
                <w:color w:val="000000"/>
              </w:rPr>
            </w:pPr>
          </w:p>
        </w:tc>
        <w:tc>
          <w:tcPr>
            <w:tcW w:w="785" w:type="dxa"/>
            <w:vAlign w:val="center"/>
          </w:tcPr>
          <w:p>
            <w:pPr>
              <w:adjustRightInd w:val="0"/>
              <w:snapToGrid w:val="0"/>
              <w:spacing w:line="240" w:lineRule="auto"/>
              <w:ind w:firstLine="0" w:firstLineChars="0"/>
              <w:jc w:val="center"/>
              <w:rPr>
                <w:rFonts w:ascii="宋体" w:hAnsi="宋体" w:eastAsia="宋体"/>
                <w:color w:val="000000"/>
              </w:rPr>
            </w:pPr>
          </w:p>
        </w:tc>
        <w:tc>
          <w:tcPr>
            <w:tcW w:w="749" w:type="dxa"/>
            <w:vAlign w:val="center"/>
          </w:tcPr>
          <w:p>
            <w:pPr>
              <w:adjustRightInd w:val="0"/>
              <w:snapToGrid w:val="0"/>
              <w:spacing w:line="240" w:lineRule="auto"/>
              <w:ind w:firstLine="0" w:firstLineChars="0"/>
              <w:jc w:val="center"/>
              <w:rPr>
                <w:rFonts w:ascii="宋体" w:hAnsi="宋体" w:eastAsia="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dxa"/>
            <w:vAlign w:val="center"/>
          </w:tcPr>
          <w:p>
            <w:pPr>
              <w:spacing w:line="240" w:lineRule="auto"/>
              <w:ind w:firstLine="0" w:firstLineChars="0"/>
              <w:jc w:val="center"/>
              <w:rPr>
                <w:rFonts w:ascii="宋体" w:hAnsi="宋体" w:eastAsia="宋体"/>
                <w:color w:val="000000"/>
              </w:rPr>
            </w:pPr>
          </w:p>
        </w:tc>
        <w:tc>
          <w:tcPr>
            <w:tcW w:w="2745" w:type="dxa"/>
            <w:vAlign w:val="center"/>
          </w:tcPr>
          <w:p>
            <w:pPr>
              <w:spacing w:line="240" w:lineRule="auto"/>
              <w:ind w:firstLine="0" w:firstLineChars="0"/>
              <w:jc w:val="center"/>
              <w:rPr>
                <w:rFonts w:ascii="宋体" w:hAnsi="宋体" w:eastAsia="宋体"/>
                <w:color w:val="000000"/>
              </w:rPr>
            </w:pPr>
          </w:p>
        </w:tc>
        <w:tc>
          <w:tcPr>
            <w:tcW w:w="993"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82" w:type="dxa"/>
            <w:vAlign w:val="center"/>
          </w:tcPr>
          <w:p>
            <w:pPr>
              <w:spacing w:line="240" w:lineRule="auto"/>
              <w:ind w:firstLine="0" w:firstLineChars="0"/>
              <w:jc w:val="center"/>
              <w:rPr>
                <w:rFonts w:ascii="宋体" w:hAnsi="宋体" w:eastAsia="宋体"/>
                <w:color w:val="000000"/>
              </w:rPr>
            </w:pPr>
          </w:p>
        </w:tc>
        <w:tc>
          <w:tcPr>
            <w:tcW w:w="984" w:type="dxa"/>
            <w:vAlign w:val="center"/>
          </w:tcPr>
          <w:p>
            <w:pPr>
              <w:spacing w:line="240" w:lineRule="auto"/>
              <w:ind w:firstLine="0" w:firstLineChars="0"/>
              <w:jc w:val="center"/>
              <w:rPr>
                <w:rFonts w:ascii="宋体" w:hAnsi="宋体" w:eastAsia="宋体"/>
                <w:color w:val="000000"/>
              </w:rPr>
            </w:pPr>
          </w:p>
        </w:tc>
        <w:tc>
          <w:tcPr>
            <w:tcW w:w="927"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74" w:type="dxa"/>
            <w:vAlign w:val="center"/>
          </w:tcPr>
          <w:p>
            <w:pPr>
              <w:spacing w:line="240" w:lineRule="auto"/>
              <w:ind w:firstLine="0" w:firstLineChars="0"/>
              <w:jc w:val="center"/>
              <w:rPr>
                <w:rFonts w:ascii="宋体" w:hAnsi="宋体" w:eastAsia="宋体"/>
                <w:color w:val="000000"/>
              </w:rPr>
            </w:pPr>
          </w:p>
        </w:tc>
        <w:tc>
          <w:tcPr>
            <w:tcW w:w="850"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85" w:type="dxa"/>
            <w:vAlign w:val="center"/>
          </w:tcPr>
          <w:p>
            <w:pPr>
              <w:spacing w:line="240" w:lineRule="auto"/>
              <w:ind w:firstLine="0" w:firstLineChars="0"/>
              <w:jc w:val="center"/>
              <w:rPr>
                <w:rFonts w:ascii="宋体" w:hAnsi="宋体" w:eastAsia="宋体"/>
                <w:color w:val="000000"/>
              </w:rPr>
            </w:pPr>
          </w:p>
        </w:tc>
        <w:tc>
          <w:tcPr>
            <w:tcW w:w="749" w:type="dxa"/>
            <w:vAlign w:val="center"/>
          </w:tcPr>
          <w:p>
            <w:pPr>
              <w:spacing w:line="240" w:lineRule="auto"/>
              <w:ind w:firstLine="0" w:firstLineChars="0"/>
              <w:jc w:val="center"/>
              <w:rPr>
                <w:rFonts w:ascii="宋体" w:hAnsi="宋体" w:eastAsia="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dxa"/>
            <w:vAlign w:val="center"/>
          </w:tcPr>
          <w:p>
            <w:pPr>
              <w:spacing w:line="240" w:lineRule="auto"/>
              <w:ind w:firstLine="0" w:firstLineChars="0"/>
              <w:jc w:val="center"/>
              <w:rPr>
                <w:rFonts w:ascii="宋体" w:hAnsi="宋体" w:eastAsia="宋体"/>
                <w:color w:val="000000"/>
              </w:rPr>
            </w:pPr>
          </w:p>
        </w:tc>
        <w:tc>
          <w:tcPr>
            <w:tcW w:w="2745" w:type="dxa"/>
            <w:vAlign w:val="center"/>
          </w:tcPr>
          <w:p>
            <w:pPr>
              <w:spacing w:line="240" w:lineRule="auto"/>
              <w:ind w:firstLine="0" w:firstLineChars="0"/>
              <w:jc w:val="center"/>
              <w:rPr>
                <w:rFonts w:ascii="宋体" w:hAnsi="宋体" w:eastAsia="宋体"/>
                <w:color w:val="000000"/>
              </w:rPr>
            </w:pPr>
          </w:p>
        </w:tc>
        <w:tc>
          <w:tcPr>
            <w:tcW w:w="993"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82" w:type="dxa"/>
            <w:vAlign w:val="center"/>
          </w:tcPr>
          <w:p>
            <w:pPr>
              <w:spacing w:line="240" w:lineRule="auto"/>
              <w:ind w:firstLine="0" w:firstLineChars="0"/>
              <w:jc w:val="center"/>
              <w:rPr>
                <w:rFonts w:ascii="宋体" w:hAnsi="宋体" w:eastAsia="宋体"/>
                <w:color w:val="000000"/>
              </w:rPr>
            </w:pPr>
          </w:p>
        </w:tc>
        <w:tc>
          <w:tcPr>
            <w:tcW w:w="984" w:type="dxa"/>
            <w:vAlign w:val="center"/>
          </w:tcPr>
          <w:p>
            <w:pPr>
              <w:spacing w:line="240" w:lineRule="auto"/>
              <w:ind w:firstLine="0" w:firstLineChars="0"/>
              <w:jc w:val="center"/>
              <w:rPr>
                <w:rFonts w:ascii="宋体" w:hAnsi="宋体" w:eastAsia="宋体"/>
                <w:color w:val="000000"/>
              </w:rPr>
            </w:pPr>
          </w:p>
        </w:tc>
        <w:tc>
          <w:tcPr>
            <w:tcW w:w="927"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74" w:type="dxa"/>
            <w:vAlign w:val="center"/>
          </w:tcPr>
          <w:p>
            <w:pPr>
              <w:spacing w:line="240" w:lineRule="auto"/>
              <w:ind w:firstLine="0" w:firstLineChars="0"/>
              <w:jc w:val="center"/>
              <w:rPr>
                <w:rFonts w:ascii="宋体" w:hAnsi="宋体" w:eastAsia="宋体"/>
                <w:color w:val="000000"/>
              </w:rPr>
            </w:pPr>
          </w:p>
        </w:tc>
        <w:tc>
          <w:tcPr>
            <w:tcW w:w="850"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85" w:type="dxa"/>
            <w:vAlign w:val="center"/>
          </w:tcPr>
          <w:p>
            <w:pPr>
              <w:spacing w:line="240" w:lineRule="auto"/>
              <w:ind w:firstLine="0" w:firstLineChars="0"/>
              <w:jc w:val="center"/>
              <w:rPr>
                <w:rFonts w:ascii="宋体" w:hAnsi="宋体" w:eastAsia="宋体"/>
                <w:color w:val="000000"/>
              </w:rPr>
            </w:pPr>
          </w:p>
        </w:tc>
        <w:tc>
          <w:tcPr>
            <w:tcW w:w="749" w:type="dxa"/>
            <w:vAlign w:val="center"/>
          </w:tcPr>
          <w:p>
            <w:pPr>
              <w:spacing w:line="240" w:lineRule="auto"/>
              <w:ind w:firstLine="0" w:firstLineChars="0"/>
              <w:jc w:val="center"/>
              <w:rPr>
                <w:rFonts w:ascii="宋体" w:hAnsi="宋体" w:eastAsia="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dxa"/>
            <w:vAlign w:val="center"/>
          </w:tcPr>
          <w:p>
            <w:pPr>
              <w:spacing w:line="240" w:lineRule="auto"/>
              <w:ind w:firstLine="0" w:firstLineChars="0"/>
              <w:jc w:val="center"/>
              <w:rPr>
                <w:rFonts w:ascii="宋体" w:hAnsi="宋体" w:eastAsia="宋体"/>
                <w:color w:val="000000"/>
              </w:rPr>
            </w:pPr>
          </w:p>
        </w:tc>
        <w:tc>
          <w:tcPr>
            <w:tcW w:w="2745" w:type="dxa"/>
            <w:vAlign w:val="center"/>
          </w:tcPr>
          <w:p>
            <w:pPr>
              <w:spacing w:line="240" w:lineRule="auto"/>
              <w:ind w:firstLine="0" w:firstLineChars="0"/>
              <w:jc w:val="center"/>
              <w:rPr>
                <w:rFonts w:ascii="宋体" w:hAnsi="宋体" w:eastAsia="宋体"/>
                <w:color w:val="000000"/>
              </w:rPr>
            </w:pPr>
          </w:p>
        </w:tc>
        <w:tc>
          <w:tcPr>
            <w:tcW w:w="993"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82" w:type="dxa"/>
            <w:vAlign w:val="center"/>
          </w:tcPr>
          <w:p>
            <w:pPr>
              <w:spacing w:line="240" w:lineRule="auto"/>
              <w:ind w:firstLine="0" w:firstLineChars="0"/>
              <w:jc w:val="center"/>
              <w:rPr>
                <w:rFonts w:ascii="宋体" w:hAnsi="宋体" w:eastAsia="宋体"/>
                <w:color w:val="000000"/>
              </w:rPr>
            </w:pPr>
          </w:p>
        </w:tc>
        <w:tc>
          <w:tcPr>
            <w:tcW w:w="984" w:type="dxa"/>
            <w:vAlign w:val="center"/>
          </w:tcPr>
          <w:p>
            <w:pPr>
              <w:spacing w:line="240" w:lineRule="auto"/>
              <w:ind w:firstLine="0" w:firstLineChars="0"/>
              <w:jc w:val="center"/>
              <w:rPr>
                <w:rFonts w:ascii="宋体" w:hAnsi="宋体" w:eastAsia="宋体"/>
                <w:color w:val="000000"/>
              </w:rPr>
            </w:pPr>
          </w:p>
        </w:tc>
        <w:tc>
          <w:tcPr>
            <w:tcW w:w="927"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74" w:type="dxa"/>
            <w:vAlign w:val="center"/>
          </w:tcPr>
          <w:p>
            <w:pPr>
              <w:spacing w:line="240" w:lineRule="auto"/>
              <w:ind w:firstLine="0" w:firstLineChars="0"/>
              <w:jc w:val="center"/>
              <w:rPr>
                <w:rFonts w:ascii="宋体" w:hAnsi="宋体" w:eastAsia="宋体"/>
                <w:color w:val="000000"/>
              </w:rPr>
            </w:pPr>
          </w:p>
        </w:tc>
        <w:tc>
          <w:tcPr>
            <w:tcW w:w="850"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85" w:type="dxa"/>
            <w:vAlign w:val="center"/>
          </w:tcPr>
          <w:p>
            <w:pPr>
              <w:spacing w:line="240" w:lineRule="auto"/>
              <w:ind w:firstLine="0" w:firstLineChars="0"/>
              <w:jc w:val="center"/>
              <w:rPr>
                <w:rFonts w:ascii="宋体" w:hAnsi="宋体" w:eastAsia="宋体"/>
                <w:color w:val="000000"/>
              </w:rPr>
            </w:pPr>
          </w:p>
        </w:tc>
        <w:tc>
          <w:tcPr>
            <w:tcW w:w="749" w:type="dxa"/>
            <w:vAlign w:val="center"/>
          </w:tcPr>
          <w:p>
            <w:pPr>
              <w:spacing w:line="240" w:lineRule="auto"/>
              <w:ind w:firstLine="0" w:firstLineChars="0"/>
              <w:jc w:val="center"/>
              <w:rPr>
                <w:rFonts w:ascii="宋体" w:hAnsi="宋体" w:eastAsia="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dxa"/>
            <w:vAlign w:val="center"/>
          </w:tcPr>
          <w:p>
            <w:pPr>
              <w:spacing w:line="240" w:lineRule="auto"/>
              <w:ind w:firstLine="0" w:firstLineChars="0"/>
              <w:jc w:val="center"/>
              <w:rPr>
                <w:rFonts w:ascii="宋体" w:hAnsi="宋体" w:eastAsia="宋体"/>
                <w:color w:val="000000"/>
              </w:rPr>
            </w:pPr>
          </w:p>
        </w:tc>
        <w:tc>
          <w:tcPr>
            <w:tcW w:w="2745" w:type="dxa"/>
            <w:vAlign w:val="center"/>
          </w:tcPr>
          <w:p>
            <w:pPr>
              <w:spacing w:line="240" w:lineRule="auto"/>
              <w:ind w:firstLine="0" w:firstLineChars="0"/>
              <w:jc w:val="center"/>
              <w:rPr>
                <w:rFonts w:ascii="宋体" w:hAnsi="宋体" w:eastAsia="宋体"/>
                <w:color w:val="000000"/>
              </w:rPr>
            </w:pPr>
          </w:p>
        </w:tc>
        <w:tc>
          <w:tcPr>
            <w:tcW w:w="993"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82" w:type="dxa"/>
            <w:vAlign w:val="center"/>
          </w:tcPr>
          <w:p>
            <w:pPr>
              <w:spacing w:line="240" w:lineRule="auto"/>
              <w:ind w:firstLine="0" w:firstLineChars="0"/>
              <w:jc w:val="center"/>
              <w:rPr>
                <w:rFonts w:ascii="宋体" w:hAnsi="宋体" w:eastAsia="宋体"/>
                <w:color w:val="000000"/>
              </w:rPr>
            </w:pPr>
          </w:p>
        </w:tc>
        <w:tc>
          <w:tcPr>
            <w:tcW w:w="984" w:type="dxa"/>
            <w:vAlign w:val="center"/>
          </w:tcPr>
          <w:p>
            <w:pPr>
              <w:spacing w:line="240" w:lineRule="auto"/>
              <w:ind w:firstLine="0" w:firstLineChars="0"/>
              <w:jc w:val="center"/>
              <w:rPr>
                <w:rFonts w:ascii="宋体" w:hAnsi="宋体" w:eastAsia="宋体"/>
                <w:color w:val="000000"/>
              </w:rPr>
            </w:pPr>
          </w:p>
        </w:tc>
        <w:tc>
          <w:tcPr>
            <w:tcW w:w="927"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74" w:type="dxa"/>
            <w:vAlign w:val="center"/>
          </w:tcPr>
          <w:p>
            <w:pPr>
              <w:spacing w:line="240" w:lineRule="auto"/>
              <w:ind w:firstLine="0" w:firstLineChars="0"/>
              <w:jc w:val="center"/>
              <w:rPr>
                <w:rFonts w:ascii="宋体" w:hAnsi="宋体" w:eastAsia="宋体"/>
                <w:color w:val="000000"/>
              </w:rPr>
            </w:pPr>
          </w:p>
        </w:tc>
        <w:tc>
          <w:tcPr>
            <w:tcW w:w="850"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85" w:type="dxa"/>
            <w:vAlign w:val="center"/>
          </w:tcPr>
          <w:p>
            <w:pPr>
              <w:spacing w:line="240" w:lineRule="auto"/>
              <w:ind w:firstLine="0" w:firstLineChars="0"/>
              <w:jc w:val="center"/>
              <w:rPr>
                <w:rFonts w:ascii="宋体" w:hAnsi="宋体" w:eastAsia="宋体"/>
                <w:color w:val="000000"/>
              </w:rPr>
            </w:pPr>
          </w:p>
        </w:tc>
        <w:tc>
          <w:tcPr>
            <w:tcW w:w="749" w:type="dxa"/>
            <w:vAlign w:val="center"/>
          </w:tcPr>
          <w:p>
            <w:pPr>
              <w:spacing w:line="240" w:lineRule="auto"/>
              <w:ind w:firstLine="0" w:firstLineChars="0"/>
              <w:jc w:val="center"/>
              <w:rPr>
                <w:rFonts w:ascii="宋体" w:hAnsi="宋体" w:eastAsia="宋体"/>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2" w:type="dxa"/>
            <w:vAlign w:val="center"/>
          </w:tcPr>
          <w:p>
            <w:pPr>
              <w:spacing w:line="240" w:lineRule="auto"/>
              <w:ind w:firstLine="0" w:firstLineChars="0"/>
              <w:jc w:val="center"/>
              <w:rPr>
                <w:rFonts w:ascii="宋体" w:hAnsi="宋体" w:eastAsia="宋体"/>
                <w:color w:val="000000"/>
              </w:rPr>
            </w:pPr>
          </w:p>
        </w:tc>
        <w:tc>
          <w:tcPr>
            <w:tcW w:w="2745" w:type="dxa"/>
            <w:vAlign w:val="center"/>
          </w:tcPr>
          <w:p>
            <w:pPr>
              <w:spacing w:line="240" w:lineRule="auto"/>
              <w:ind w:firstLine="0" w:firstLineChars="0"/>
              <w:jc w:val="center"/>
              <w:rPr>
                <w:rFonts w:ascii="宋体" w:hAnsi="宋体" w:eastAsia="宋体"/>
                <w:color w:val="000000"/>
              </w:rPr>
            </w:pPr>
          </w:p>
        </w:tc>
        <w:tc>
          <w:tcPr>
            <w:tcW w:w="993"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82" w:type="dxa"/>
            <w:vAlign w:val="center"/>
          </w:tcPr>
          <w:p>
            <w:pPr>
              <w:spacing w:line="240" w:lineRule="auto"/>
              <w:ind w:firstLine="0" w:firstLineChars="0"/>
              <w:jc w:val="center"/>
              <w:rPr>
                <w:rFonts w:ascii="宋体" w:hAnsi="宋体" w:eastAsia="宋体"/>
                <w:color w:val="000000"/>
              </w:rPr>
            </w:pPr>
          </w:p>
        </w:tc>
        <w:tc>
          <w:tcPr>
            <w:tcW w:w="984" w:type="dxa"/>
            <w:vAlign w:val="center"/>
          </w:tcPr>
          <w:p>
            <w:pPr>
              <w:spacing w:line="240" w:lineRule="auto"/>
              <w:ind w:firstLine="0" w:firstLineChars="0"/>
              <w:jc w:val="center"/>
              <w:rPr>
                <w:rFonts w:ascii="宋体" w:hAnsi="宋体" w:eastAsia="宋体"/>
                <w:color w:val="000000"/>
              </w:rPr>
            </w:pPr>
          </w:p>
        </w:tc>
        <w:tc>
          <w:tcPr>
            <w:tcW w:w="927"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992" w:type="dxa"/>
            <w:vAlign w:val="center"/>
          </w:tcPr>
          <w:p>
            <w:pPr>
              <w:spacing w:line="240" w:lineRule="auto"/>
              <w:ind w:firstLine="0" w:firstLineChars="0"/>
              <w:jc w:val="center"/>
              <w:rPr>
                <w:rFonts w:ascii="宋体" w:hAnsi="宋体" w:eastAsia="宋体"/>
                <w:color w:val="000000"/>
              </w:rPr>
            </w:pPr>
          </w:p>
        </w:tc>
        <w:tc>
          <w:tcPr>
            <w:tcW w:w="774" w:type="dxa"/>
            <w:vAlign w:val="center"/>
          </w:tcPr>
          <w:p>
            <w:pPr>
              <w:spacing w:line="240" w:lineRule="auto"/>
              <w:ind w:firstLine="0" w:firstLineChars="0"/>
              <w:jc w:val="center"/>
              <w:rPr>
                <w:rFonts w:ascii="宋体" w:hAnsi="宋体" w:eastAsia="宋体"/>
                <w:color w:val="000000"/>
              </w:rPr>
            </w:pPr>
          </w:p>
        </w:tc>
        <w:tc>
          <w:tcPr>
            <w:tcW w:w="850"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09" w:type="dxa"/>
            <w:vAlign w:val="center"/>
          </w:tcPr>
          <w:p>
            <w:pPr>
              <w:spacing w:line="240" w:lineRule="auto"/>
              <w:ind w:firstLine="0" w:firstLineChars="0"/>
              <w:jc w:val="center"/>
              <w:rPr>
                <w:rFonts w:ascii="宋体" w:hAnsi="宋体" w:eastAsia="宋体"/>
                <w:color w:val="000000"/>
              </w:rPr>
            </w:pPr>
          </w:p>
        </w:tc>
        <w:tc>
          <w:tcPr>
            <w:tcW w:w="785" w:type="dxa"/>
            <w:vAlign w:val="center"/>
          </w:tcPr>
          <w:p>
            <w:pPr>
              <w:spacing w:line="240" w:lineRule="auto"/>
              <w:ind w:firstLine="0" w:firstLineChars="0"/>
              <w:jc w:val="center"/>
              <w:rPr>
                <w:rFonts w:ascii="宋体" w:hAnsi="宋体" w:eastAsia="宋体"/>
                <w:color w:val="000000"/>
              </w:rPr>
            </w:pPr>
          </w:p>
        </w:tc>
        <w:tc>
          <w:tcPr>
            <w:tcW w:w="749" w:type="dxa"/>
            <w:vAlign w:val="center"/>
          </w:tcPr>
          <w:p>
            <w:pPr>
              <w:spacing w:line="240" w:lineRule="auto"/>
              <w:ind w:firstLine="0" w:firstLineChars="0"/>
              <w:jc w:val="center"/>
              <w:rPr>
                <w:rFonts w:ascii="宋体" w:hAnsi="宋体" w:eastAsia="宋体"/>
                <w:color w:val="000000"/>
              </w:rPr>
            </w:pPr>
          </w:p>
        </w:tc>
      </w:tr>
    </w:tbl>
    <w:p>
      <w:pPr>
        <w:spacing w:line="500" w:lineRule="exact"/>
        <w:ind w:firstLine="480"/>
        <w:rPr>
          <w:rFonts w:ascii="宋体" w:hAnsi="宋体" w:eastAsia="宋体"/>
          <w:color w:val="000000"/>
        </w:rPr>
      </w:pPr>
      <w:r>
        <w:rPr>
          <w:rFonts w:hint="eastAsia" w:ascii="宋体" w:hAnsi="宋体" w:eastAsia="宋体"/>
          <w:color w:val="000000"/>
        </w:rPr>
        <w:t>编制/日期：                                               复核/日期：</w:t>
      </w:r>
    </w:p>
    <w:p>
      <w:pPr>
        <w:adjustRightInd w:val="0"/>
        <w:spacing w:line="500" w:lineRule="exact"/>
        <w:ind w:firstLine="480"/>
        <w:textAlignment w:val="baseline"/>
        <w:rPr>
          <w:rFonts w:ascii="仿宋_GB2312" w:hAnsi="Arial" w:eastAsia="仿宋_GB2312" w:cs="Arial"/>
          <w:color w:val="000000"/>
        </w:rPr>
        <w:sectPr>
          <w:pgSz w:w="16838" w:h="11906" w:orient="landscape"/>
          <w:pgMar w:top="1588" w:right="2098" w:bottom="1474" w:left="1985" w:header="851" w:footer="992" w:gutter="0"/>
          <w:cols w:space="425" w:num="1"/>
          <w:docGrid w:type="linesAndChars" w:linePitch="312" w:charSpace="0"/>
        </w:sectPr>
      </w:pPr>
      <w:r>
        <w:rPr>
          <w:rFonts w:hint="eastAsia" w:ascii="宋体" w:hAnsi="宋体" w:eastAsia="宋体" w:cs="Arial"/>
          <w:color w:val="000000"/>
        </w:rPr>
        <w:t>说明：本表由工区填写，应及时登记，按月整理。</w:t>
      </w: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w:t>
      </w:r>
      <w:r>
        <w:rPr>
          <w:rFonts w:ascii="宋体" w:hAnsi="宋体" w:eastAsia="宋体" w:cs="Calibri"/>
          <w:b/>
          <w:bCs/>
          <w:szCs w:val="21"/>
        </w:rPr>
        <w:t>4</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专项施工方案现场落实情况反馈表</w:t>
      </w:r>
    </w:p>
    <w:tbl>
      <w:tblPr>
        <w:tblStyle w:val="22"/>
        <w:tblW w:w="85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8528" w:type="dxa"/>
          </w:tcPr>
          <w:p>
            <w:pPr>
              <w:spacing w:line="560" w:lineRule="exact"/>
              <w:ind w:right="1498" w:rightChars="624" w:firstLine="0" w:firstLineChars="0"/>
              <w:rPr>
                <w:rFonts w:ascii="宋体" w:hAnsi="宋体" w:eastAsia="宋体"/>
              </w:rPr>
            </w:pPr>
            <w:r>
              <w:rPr>
                <w:rFonts w:hint="eastAsia" w:ascii="宋体" w:hAnsi="宋体" w:eastAsia="宋体"/>
              </w:rPr>
              <w:t>项目名称：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8528" w:type="dxa"/>
          </w:tcPr>
          <w:p>
            <w:pPr>
              <w:spacing w:line="560" w:lineRule="exact"/>
              <w:ind w:right="1498" w:rightChars="624" w:firstLine="0" w:firstLineChars="0"/>
              <w:rPr>
                <w:rFonts w:ascii="宋体" w:hAnsi="宋体" w:eastAsia="宋体"/>
              </w:rPr>
            </w:pPr>
            <w:r>
              <w:rPr>
                <w:rFonts w:hint="eastAsia" w:ascii="宋体" w:hAnsi="宋体" w:eastAsia="宋体"/>
              </w:rPr>
              <w:t>专项施工方案名称：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8528" w:type="dxa"/>
          </w:tcPr>
          <w:p>
            <w:pPr>
              <w:spacing w:line="440" w:lineRule="exact"/>
              <w:ind w:right="1498" w:rightChars="624" w:firstLine="0" w:firstLineChars="0"/>
              <w:rPr>
                <w:rFonts w:ascii="宋体" w:hAnsi="宋体" w:eastAsia="宋体"/>
              </w:rPr>
            </w:pPr>
            <w:r>
              <w:rPr>
                <w:rFonts w:hint="eastAsia" w:ascii="宋体" w:hAnsi="宋体" w:eastAsia="宋体"/>
              </w:rPr>
              <w:t>该工序开始及预计完工时间：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0" w:hRule="atLeast"/>
        </w:trPr>
        <w:tc>
          <w:tcPr>
            <w:tcW w:w="8528" w:type="dxa"/>
          </w:tcPr>
          <w:p>
            <w:pPr>
              <w:tabs>
                <w:tab w:val="left" w:pos="8460"/>
              </w:tabs>
              <w:spacing w:line="440" w:lineRule="exact"/>
              <w:ind w:firstLine="0" w:firstLineChars="0"/>
              <w:rPr>
                <w:rFonts w:ascii="宋体" w:hAnsi="宋体" w:eastAsia="宋体"/>
              </w:rPr>
            </w:pPr>
            <w:r>
              <w:rPr>
                <w:rFonts w:hint="eastAsia" w:ascii="宋体" w:hAnsi="宋体" w:eastAsia="宋体"/>
              </w:rPr>
              <w:t>该工序总体施工方案：</w:t>
            </w:r>
          </w:p>
          <w:p>
            <w:pPr>
              <w:spacing w:line="440" w:lineRule="exact"/>
              <w:ind w:firstLine="0" w:firstLineChars="0"/>
              <w:rPr>
                <w:rFonts w:ascii="宋体" w:hAnsi="宋体" w:eastAsia="宋体"/>
                <w:color w:val="000000"/>
              </w:rPr>
            </w:pPr>
          </w:p>
          <w:p>
            <w:pPr>
              <w:spacing w:line="440" w:lineRule="exact"/>
              <w:ind w:firstLine="0" w:firstLineChars="0"/>
              <w:rPr>
                <w:rFonts w:ascii="宋体" w:hAnsi="宋体" w:eastAsia="宋体"/>
                <w:color w:val="000000"/>
              </w:rPr>
            </w:pPr>
          </w:p>
          <w:p>
            <w:pPr>
              <w:spacing w:line="440" w:lineRule="exact"/>
              <w:ind w:firstLine="0" w:firstLineChars="0"/>
              <w:rPr>
                <w:rFonts w:ascii="宋体" w:hAnsi="宋体" w:eastAsia="宋体"/>
                <w:color w:val="000000"/>
              </w:rPr>
            </w:pPr>
          </w:p>
          <w:p>
            <w:pPr>
              <w:spacing w:line="440" w:lineRule="exact"/>
              <w:ind w:firstLine="0" w:firstLineChars="0"/>
              <w:rPr>
                <w:rFonts w:ascii="宋体" w:hAnsi="宋体" w:eastAsia="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9" w:hRule="atLeast"/>
        </w:trPr>
        <w:tc>
          <w:tcPr>
            <w:tcW w:w="8528" w:type="dxa"/>
          </w:tcPr>
          <w:p>
            <w:pPr>
              <w:spacing w:line="560" w:lineRule="exact"/>
              <w:ind w:firstLine="0" w:firstLineChars="0"/>
              <w:rPr>
                <w:rFonts w:ascii="宋体" w:hAnsi="宋体" w:eastAsia="宋体"/>
              </w:rPr>
            </w:pPr>
            <w:r>
              <w:rPr>
                <w:rFonts w:hint="eastAsia" w:ascii="宋体" w:hAnsi="宋体" w:eastAsia="宋体"/>
              </w:rPr>
              <w:t>该工序目前进展情况：（附进展照片）</w:t>
            </w:r>
          </w:p>
          <w:p>
            <w:pPr>
              <w:spacing w:line="440" w:lineRule="exact"/>
              <w:ind w:firstLine="0" w:firstLineChars="0"/>
              <w:rPr>
                <w:rFonts w:ascii="宋体" w:hAnsi="宋体" w:eastAsia="宋体"/>
              </w:rPr>
            </w:pPr>
          </w:p>
          <w:p>
            <w:pPr>
              <w:spacing w:line="440" w:lineRule="exact"/>
              <w:ind w:firstLine="0" w:firstLineChars="0"/>
              <w:rPr>
                <w:rFonts w:ascii="宋体" w:hAnsi="宋体" w:eastAsia="宋体"/>
              </w:rPr>
            </w:pPr>
          </w:p>
          <w:p>
            <w:pPr>
              <w:spacing w:line="440" w:lineRule="exact"/>
              <w:ind w:firstLine="0" w:firstLineChars="0"/>
              <w:rPr>
                <w:rFonts w:ascii="宋体" w:hAnsi="宋体" w:eastAsia="宋体"/>
              </w:rPr>
            </w:pPr>
          </w:p>
          <w:p>
            <w:pPr>
              <w:spacing w:line="440" w:lineRule="exact"/>
              <w:ind w:firstLine="0" w:firstLineChars="0"/>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4" w:hRule="atLeast"/>
        </w:trPr>
        <w:tc>
          <w:tcPr>
            <w:tcW w:w="8528" w:type="dxa"/>
          </w:tcPr>
          <w:p>
            <w:pPr>
              <w:spacing w:line="400" w:lineRule="exact"/>
              <w:ind w:firstLine="0" w:firstLineChars="0"/>
              <w:rPr>
                <w:rFonts w:ascii="宋体" w:hAnsi="宋体" w:eastAsia="宋体"/>
              </w:rPr>
            </w:pPr>
            <w:r>
              <w:rPr>
                <w:rFonts w:hint="eastAsia" w:ascii="宋体" w:hAnsi="宋体" w:eastAsia="宋体"/>
              </w:rPr>
              <w:t>专项施工方案现场执行过程中存在主要问题（附相关照片）：</w:t>
            </w:r>
          </w:p>
          <w:p>
            <w:pPr>
              <w:spacing w:line="400" w:lineRule="exact"/>
              <w:ind w:firstLine="0" w:firstLineChars="0"/>
              <w:rPr>
                <w:rFonts w:ascii="宋体" w:hAnsi="宋体" w:eastAsia="宋体"/>
              </w:rPr>
            </w:pPr>
          </w:p>
          <w:p>
            <w:pPr>
              <w:spacing w:line="400" w:lineRule="exact"/>
              <w:ind w:firstLine="0" w:firstLineChars="0"/>
              <w:rPr>
                <w:rFonts w:ascii="宋体" w:hAnsi="宋体" w:eastAsia="宋体"/>
              </w:rPr>
            </w:pPr>
          </w:p>
          <w:p>
            <w:pPr>
              <w:spacing w:line="400" w:lineRule="exact"/>
              <w:ind w:firstLine="0" w:firstLineChars="0"/>
              <w:rPr>
                <w:rFonts w:ascii="宋体" w:hAnsi="宋体" w:eastAsia="宋体"/>
              </w:rPr>
            </w:pPr>
          </w:p>
          <w:p>
            <w:pPr>
              <w:spacing w:line="400" w:lineRule="exact"/>
              <w:ind w:firstLine="0" w:firstLineChars="0"/>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 w:hRule="atLeast"/>
        </w:trPr>
        <w:tc>
          <w:tcPr>
            <w:tcW w:w="8528" w:type="dxa"/>
          </w:tcPr>
          <w:p>
            <w:pPr>
              <w:spacing w:line="400" w:lineRule="exact"/>
              <w:ind w:firstLine="0" w:firstLineChars="0"/>
              <w:rPr>
                <w:rFonts w:ascii="宋体" w:hAnsi="宋体" w:eastAsia="宋体"/>
              </w:rPr>
            </w:pPr>
            <w:r>
              <w:rPr>
                <w:rFonts w:hint="eastAsia" w:ascii="宋体" w:hAnsi="宋体" w:eastAsia="宋体"/>
              </w:rPr>
              <w:t>针对存在问题的整改落实情况及下步改进措施（附相关照片）：</w:t>
            </w:r>
          </w:p>
          <w:p>
            <w:pPr>
              <w:spacing w:line="400" w:lineRule="exact"/>
              <w:ind w:firstLine="0" w:firstLineChars="0"/>
              <w:rPr>
                <w:rFonts w:ascii="宋体" w:hAnsi="宋体" w:eastAsia="宋体"/>
              </w:rPr>
            </w:pPr>
          </w:p>
          <w:p>
            <w:pPr>
              <w:spacing w:line="400" w:lineRule="exact"/>
              <w:ind w:firstLine="0" w:firstLineChars="0"/>
              <w:rPr>
                <w:rFonts w:ascii="宋体" w:hAnsi="宋体" w:eastAsia="宋体"/>
              </w:rPr>
            </w:pPr>
          </w:p>
          <w:p>
            <w:pPr>
              <w:spacing w:line="400" w:lineRule="exact"/>
              <w:ind w:firstLine="0" w:firstLineChars="0"/>
              <w:rPr>
                <w:rFonts w:ascii="宋体" w:hAnsi="宋体" w:eastAsia="宋体"/>
              </w:rPr>
            </w:pPr>
          </w:p>
        </w:tc>
      </w:tr>
    </w:tbl>
    <w:p>
      <w:pPr>
        <w:spacing w:line="400" w:lineRule="exact"/>
        <w:ind w:right="5" w:rightChars="2" w:firstLine="0" w:firstLineChars="0"/>
        <w:rPr>
          <w:rFonts w:ascii="宋体" w:hAnsi="宋体" w:eastAsia="宋体"/>
        </w:rPr>
      </w:pPr>
      <w:r>
        <w:rPr>
          <w:rFonts w:hint="eastAsia" w:ascii="宋体" w:hAnsi="宋体" w:eastAsia="宋体"/>
        </w:rPr>
        <w:t>注：1.本表每季度填报一次。</w:t>
      </w:r>
    </w:p>
    <w:p>
      <w:pPr>
        <w:spacing w:line="400" w:lineRule="exact"/>
        <w:ind w:right="5" w:rightChars="2" w:firstLine="0" w:firstLineChars="0"/>
        <w:rPr>
          <w:rFonts w:ascii="宋体" w:hAnsi="宋体" w:eastAsia="宋体"/>
        </w:rPr>
      </w:pPr>
      <w:r>
        <w:rPr>
          <w:rFonts w:hint="eastAsia" w:ascii="宋体" w:hAnsi="宋体" w:eastAsia="宋体"/>
        </w:rPr>
        <w:t>2.每个专项施工方案对应一份表格，照片等其它证明资料可附页。</w:t>
      </w:r>
    </w:p>
    <w:p>
      <w:pPr>
        <w:spacing w:line="560" w:lineRule="exact"/>
        <w:ind w:right="1498" w:rightChars="624" w:firstLine="0" w:firstLineChars="0"/>
        <w:rPr>
          <w:rFonts w:ascii="宋体" w:hAnsi="宋体" w:eastAsia="宋体"/>
        </w:rPr>
      </w:pPr>
      <w:r>
        <w:rPr>
          <w:rFonts w:hint="eastAsia" w:ascii="宋体" w:hAnsi="宋体" w:eastAsia="宋体"/>
        </w:rPr>
        <w:t>填报人：            总承包项目部总工程师：       填报时间：</w:t>
      </w:r>
      <w:r>
        <w:rPr>
          <w:rFonts w:ascii="宋体" w:hAnsi="宋体" w:eastAsia="宋体"/>
        </w:rPr>
        <w:t xml:space="preserve"> </w:t>
      </w:r>
    </w:p>
    <w:p>
      <w:pPr>
        <w:widowControl w:val="0"/>
        <w:ind w:firstLine="0" w:firstLineChars="0"/>
        <w:rPr>
          <w:rFonts w:ascii="宋体" w:hAnsi="宋体" w:eastAsia="宋体" w:cs="Calibri"/>
          <w:b/>
          <w:bCs/>
          <w:sz w:val="32"/>
        </w:rPr>
        <w:sectPr>
          <w:pgSz w:w="11906" w:h="16838"/>
          <w:pgMar w:top="1440" w:right="1797" w:bottom="1440" w:left="1797" w:header="851" w:footer="992" w:gutter="0"/>
          <w:cols w:space="425" w:num="1"/>
          <w:docGrid w:type="lines" w:linePitch="312" w:charSpace="0"/>
        </w:sectPr>
      </w:pPr>
    </w:p>
    <w:p>
      <w:pPr>
        <w:pStyle w:val="2"/>
      </w:pPr>
      <w:bookmarkStart w:id="167" w:name="_Toc10880"/>
      <w:r>
        <w:rPr>
          <w:rFonts w:hint="eastAsia" w:ascii="仿宋_GB2312" w:hAnsi="仿宋_GB2312" w:cs="仿宋_GB2312"/>
          <w:szCs w:val="32"/>
        </w:rPr>
        <w:t>十八、</w:t>
      </w:r>
      <w:r>
        <w:rPr>
          <w:rFonts w:hint="eastAsia"/>
        </w:rPr>
        <w:t>班前安全讲话活动管理制度</w:t>
      </w:r>
      <w:bookmarkEnd w:id="167"/>
    </w:p>
    <w:p>
      <w:pPr>
        <w:pStyle w:val="3"/>
        <w:widowControl w:val="0"/>
      </w:pPr>
      <w:r>
        <w:rPr>
          <w:rFonts w:hint="eastAsia"/>
        </w:rPr>
        <w:t>第一章 总则</w:t>
      </w:r>
    </w:p>
    <w:p>
      <w:pPr>
        <w:widowControl w:val="0"/>
        <w:ind w:firstLine="482"/>
      </w:pPr>
      <w:r>
        <w:rPr>
          <w:rFonts w:hint="eastAsia"/>
          <w:b/>
        </w:rPr>
        <w:t>第一条</w:t>
      </w:r>
      <w:r>
        <w:rPr>
          <w:rFonts w:hint="eastAsia"/>
        </w:rPr>
        <w:t xml:space="preserve"> 为了强化现场安全生产教育，增强作业人员安全意识和自我防护能力，有效预防生产安全事故的发生根据台州市域铁路S1线一期PPP项目工程总承包项目部(以下简称</w:t>
      </w:r>
      <w:r>
        <w:t>“</w:t>
      </w:r>
      <w:r>
        <w:rPr>
          <w:rFonts w:hint="eastAsia"/>
        </w:rPr>
        <w:t>总承包项目部</w:t>
      </w:r>
      <w:r>
        <w:t>”)</w:t>
      </w:r>
      <w:r>
        <w:rPr>
          <w:rFonts w:hint="eastAsia"/>
        </w:rPr>
        <w:t>安全管理需要，特制定本制度。</w:t>
      </w:r>
    </w:p>
    <w:p>
      <w:pPr>
        <w:widowControl w:val="0"/>
        <w:ind w:firstLine="482"/>
      </w:pPr>
      <w:r>
        <w:rPr>
          <w:rFonts w:hint="eastAsia"/>
          <w:b/>
        </w:rPr>
        <w:t>第二条</w:t>
      </w:r>
      <w:r>
        <w:rPr>
          <w:rFonts w:hint="eastAsia"/>
        </w:rPr>
        <w:t xml:space="preserve"> 本制度适用总承包项目部所属各</w:t>
      </w:r>
      <w:r>
        <w:t>工区</w:t>
      </w:r>
      <w:r>
        <w:rPr>
          <w:rFonts w:hint="eastAsia"/>
        </w:rPr>
        <w:t>，班前安全活动的管理应符合本制度要求。</w:t>
      </w:r>
    </w:p>
    <w:p>
      <w:pPr>
        <w:pStyle w:val="3"/>
        <w:widowControl w:val="0"/>
      </w:pPr>
      <w:r>
        <w:rPr>
          <w:rFonts w:hint="eastAsia"/>
        </w:rPr>
        <w:t>第二章 基本规定</w:t>
      </w:r>
    </w:p>
    <w:p>
      <w:pPr>
        <w:widowControl w:val="0"/>
        <w:ind w:firstLine="482"/>
      </w:pPr>
      <w:r>
        <w:rPr>
          <w:rFonts w:hint="eastAsia"/>
          <w:b/>
        </w:rPr>
        <w:t>第三条</w:t>
      </w:r>
      <w:r>
        <w:rPr>
          <w:rFonts w:hint="eastAsia"/>
        </w:rPr>
        <w:t xml:space="preserve"> 各工区应建立《班组安全活动记录表》（见附件1），在施工过程中实行动态管理，根据班组人员情况变化及时调整、更新。</w:t>
      </w:r>
    </w:p>
    <w:p>
      <w:pPr>
        <w:pStyle w:val="3"/>
        <w:widowControl w:val="0"/>
      </w:pPr>
      <w:r>
        <w:rPr>
          <w:rFonts w:hint="eastAsia"/>
        </w:rPr>
        <w:t>第三章 职责</w:t>
      </w:r>
    </w:p>
    <w:p>
      <w:pPr>
        <w:widowControl w:val="0"/>
        <w:ind w:firstLine="482"/>
      </w:pPr>
      <w:r>
        <w:rPr>
          <w:rFonts w:hint="eastAsia"/>
          <w:b/>
        </w:rPr>
        <w:t>第四条</w:t>
      </w:r>
      <w:r>
        <w:rPr>
          <w:rFonts w:hint="eastAsia"/>
        </w:rPr>
        <w:t xml:space="preserve"> 总承包项目部</w:t>
      </w:r>
    </w:p>
    <w:p>
      <w:pPr>
        <w:widowControl w:val="0"/>
        <w:ind w:firstLine="480"/>
      </w:pPr>
      <w:r>
        <w:rPr>
          <w:rFonts w:hint="eastAsia"/>
        </w:rPr>
        <w:t>（一）负责本项目班前安全活动的监督管理工作。</w:t>
      </w:r>
    </w:p>
    <w:p>
      <w:pPr>
        <w:widowControl w:val="0"/>
        <w:ind w:firstLine="480"/>
      </w:pPr>
      <w:r>
        <w:rPr>
          <w:rFonts w:hint="eastAsia"/>
        </w:rPr>
        <w:t>（二）每月对班前安全活动资料档案和班前讲话情况进行监督检查，</w:t>
      </w:r>
      <w:r>
        <w:t>并形成检查记录</w:t>
      </w:r>
      <w:r>
        <w:rPr>
          <w:rFonts w:hint="eastAsia"/>
        </w:rPr>
        <w:t>。</w:t>
      </w:r>
    </w:p>
    <w:p>
      <w:pPr>
        <w:widowControl w:val="0"/>
        <w:ind w:firstLine="480"/>
      </w:pPr>
      <w:r>
        <w:rPr>
          <w:rFonts w:hint="eastAsia"/>
        </w:rPr>
        <w:t>（三）发现班前安全活动有下列情况的，应立即下发通知，</w:t>
      </w:r>
      <w:r>
        <w:t>限期整改</w:t>
      </w:r>
      <w:r>
        <w:rPr>
          <w:rFonts w:hint="eastAsia"/>
        </w:rPr>
        <w:t>。</w:t>
      </w:r>
    </w:p>
    <w:p>
      <w:pPr>
        <w:widowControl w:val="0"/>
        <w:ind w:firstLine="480"/>
      </w:pPr>
      <w:r>
        <w:t>a</w:t>
      </w:r>
      <w:r>
        <w:rPr>
          <w:rFonts w:hint="eastAsia"/>
        </w:rPr>
        <w:t>、未开展每日班前安全讲话的或开展</w:t>
      </w:r>
      <w:r>
        <w:t>每日班前安全讲话敷衍了事</w:t>
      </w:r>
      <w:r>
        <w:rPr>
          <w:rFonts w:hint="eastAsia"/>
        </w:rPr>
        <w:t>的；</w:t>
      </w:r>
    </w:p>
    <w:p>
      <w:pPr>
        <w:widowControl w:val="0"/>
        <w:ind w:firstLine="480"/>
      </w:pPr>
      <w:r>
        <w:t>b</w:t>
      </w:r>
      <w:r>
        <w:rPr>
          <w:rFonts w:hint="eastAsia"/>
        </w:rPr>
        <w:t>、未按要求填写《班组安全活动记录表》的；</w:t>
      </w:r>
    </w:p>
    <w:p>
      <w:pPr>
        <w:widowControl w:val="0"/>
        <w:ind w:firstLine="480"/>
      </w:pPr>
      <w:r>
        <w:rPr>
          <w:rFonts w:hint="eastAsia"/>
        </w:rPr>
        <w:t>c、要领导</w:t>
      </w:r>
      <w:r>
        <w:t>或部门负责人长期不参加</w:t>
      </w:r>
      <w:r>
        <w:rPr>
          <w:rFonts w:hint="eastAsia"/>
        </w:rPr>
        <w:t>班前安全讲话活动</w:t>
      </w:r>
      <w:r>
        <w:t>的</w:t>
      </w:r>
      <w:r>
        <w:rPr>
          <w:rFonts w:hint="eastAsia"/>
        </w:rPr>
        <w:t>；</w:t>
      </w:r>
    </w:p>
    <w:p>
      <w:pPr>
        <w:widowControl w:val="0"/>
        <w:ind w:firstLine="480"/>
      </w:pPr>
      <w:r>
        <w:rPr>
          <w:rFonts w:hint="eastAsia"/>
        </w:rPr>
        <w:t>d、对检查人员提出的整改要求不认真履行整改义务的；</w:t>
      </w:r>
    </w:p>
    <w:p>
      <w:pPr>
        <w:widowControl w:val="0"/>
        <w:ind w:firstLine="480"/>
      </w:pPr>
      <w:r>
        <w:rPr>
          <w:rFonts w:hint="eastAsia"/>
        </w:rPr>
        <w:t>e、有其他违法违规行为的。</w:t>
      </w:r>
    </w:p>
    <w:p>
      <w:pPr>
        <w:widowControl w:val="0"/>
        <w:ind w:firstLine="482"/>
      </w:pPr>
      <w:r>
        <w:rPr>
          <w:rFonts w:hint="eastAsia"/>
          <w:b/>
        </w:rPr>
        <w:t xml:space="preserve">第五条 </w:t>
      </w:r>
      <w:r>
        <w:rPr>
          <w:rFonts w:hint="eastAsia"/>
        </w:rPr>
        <w:t>工区项目部</w:t>
      </w:r>
    </w:p>
    <w:p>
      <w:pPr>
        <w:widowControl w:val="0"/>
        <w:ind w:firstLine="480"/>
      </w:pPr>
      <w:r>
        <w:rPr>
          <w:rFonts w:hint="eastAsia"/>
        </w:rPr>
        <w:t>（一）根据有关法律、规范的要求，制定并落实本工区班前安全活动制度及注意事项。</w:t>
      </w:r>
    </w:p>
    <w:p>
      <w:pPr>
        <w:widowControl w:val="0"/>
        <w:ind w:firstLine="480"/>
      </w:pPr>
      <w:r>
        <w:rPr>
          <w:rFonts w:hint="eastAsia"/>
        </w:rPr>
        <w:t>（二）认真组织开展每日班前安全讲话</w:t>
      </w:r>
      <w:r>
        <w:t>活动</w:t>
      </w:r>
      <w:r>
        <w:rPr>
          <w:rFonts w:hint="eastAsia"/>
        </w:rPr>
        <w:t>并形成</w:t>
      </w:r>
      <w:r>
        <w:t>记录</w:t>
      </w:r>
      <w:r>
        <w:rPr>
          <w:rFonts w:hint="eastAsia"/>
        </w:rPr>
        <w:t>。</w:t>
      </w:r>
    </w:p>
    <w:p>
      <w:pPr>
        <w:pStyle w:val="3"/>
        <w:widowControl w:val="0"/>
      </w:pPr>
      <w:r>
        <w:rPr>
          <w:rFonts w:hint="eastAsia"/>
        </w:rPr>
        <w:t>第四章 活动开展</w:t>
      </w:r>
    </w:p>
    <w:p>
      <w:pPr>
        <w:widowControl w:val="0"/>
        <w:ind w:firstLine="482"/>
      </w:pPr>
      <w:r>
        <w:rPr>
          <w:rFonts w:hint="eastAsia"/>
          <w:b/>
        </w:rPr>
        <w:t xml:space="preserve">第六条 </w:t>
      </w:r>
      <w:r>
        <w:rPr>
          <w:rFonts w:hint="eastAsia"/>
        </w:rPr>
        <w:t>班前安全讲话讲评人</w:t>
      </w:r>
      <w:r>
        <w:t>员</w:t>
      </w:r>
      <w:r>
        <w:rPr>
          <w:rFonts w:hint="eastAsia"/>
        </w:rPr>
        <w:t>主要负责人为</w:t>
      </w:r>
      <w:r>
        <w:t>班组长</w:t>
      </w:r>
      <w:r>
        <w:rPr>
          <w:rFonts w:hint="eastAsia"/>
        </w:rPr>
        <w:t>，工区经理</w:t>
      </w:r>
      <w:r>
        <w:t>、</w:t>
      </w:r>
      <w:r>
        <w:rPr>
          <w:rFonts w:hint="eastAsia"/>
        </w:rPr>
        <w:t>工区</w:t>
      </w:r>
      <w:r>
        <w:t>副经理、</w:t>
      </w:r>
      <w:r>
        <w:rPr>
          <w:rFonts w:hint="eastAsia"/>
        </w:rPr>
        <w:t>安全</w:t>
      </w:r>
      <w:r>
        <w:t>负责人等</w:t>
      </w:r>
      <w:r>
        <w:rPr>
          <w:rFonts w:hint="eastAsia"/>
        </w:rPr>
        <w:t>不定期</w:t>
      </w:r>
      <w:r>
        <w:t>参加</w:t>
      </w:r>
      <w:r>
        <w:rPr>
          <w:rFonts w:hint="eastAsia"/>
        </w:rPr>
        <w:t>，原则上工区经理每月参加每个班组的班前安全讲话</w:t>
      </w:r>
      <w:r>
        <w:t>不少于</w:t>
      </w:r>
      <w:r>
        <w:rPr>
          <w:rFonts w:hint="eastAsia"/>
        </w:rPr>
        <w:t>1次</w:t>
      </w:r>
      <w:r>
        <w:t>，</w:t>
      </w:r>
      <w:r>
        <w:rPr>
          <w:rFonts w:hint="eastAsia"/>
        </w:rPr>
        <w:t>工区技术负责人</w:t>
      </w:r>
      <w:r>
        <w:t>及工区副经理</w:t>
      </w:r>
      <w:r>
        <w:rPr>
          <w:rFonts w:hint="eastAsia"/>
        </w:rPr>
        <w:t>每月参加每个班组的班前安全讲话</w:t>
      </w:r>
      <w:r>
        <w:t>不少于2</w:t>
      </w:r>
      <w:r>
        <w:rPr>
          <w:rFonts w:hint="eastAsia"/>
        </w:rPr>
        <w:t>次，安全负责人</w:t>
      </w:r>
      <w:r>
        <w:t>及队长</w:t>
      </w:r>
      <w:r>
        <w:rPr>
          <w:rFonts w:hint="eastAsia"/>
        </w:rPr>
        <w:t>每月参加每个班组的班前安全讲话</w:t>
      </w:r>
      <w:r>
        <w:t>不少于4</w:t>
      </w:r>
      <w:r>
        <w:rPr>
          <w:rFonts w:hint="eastAsia"/>
        </w:rPr>
        <w:t>次。</w:t>
      </w:r>
    </w:p>
    <w:p>
      <w:pPr>
        <w:widowControl w:val="0"/>
        <w:ind w:firstLine="482"/>
      </w:pPr>
      <w:r>
        <w:rPr>
          <w:rFonts w:hint="eastAsia"/>
          <w:b/>
        </w:rPr>
        <w:t xml:space="preserve">第七条 </w:t>
      </w:r>
      <w:r>
        <w:rPr>
          <w:rFonts w:hint="eastAsia"/>
        </w:rPr>
        <w:t>班前班组长必须对现场作业环境、防护设施及施工机具进行检查，发现存在不安全因素的，应立即报告现场负责人或及时采取防范措施，在确保安全后方可组织进场作业。</w:t>
      </w:r>
    </w:p>
    <w:p>
      <w:pPr>
        <w:widowControl w:val="0"/>
        <w:ind w:firstLine="482"/>
      </w:pPr>
      <w:r>
        <w:rPr>
          <w:rFonts w:hint="eastAsia"/>
          <w:b/>
        </w:rPr>
        <w:t xml:space="preserve">第八条 </w:t>
      </w:r>
      <w:r>
        <w:rPr>
          <w:rFonts w:hint="eastAsia"/>
        </w:rPr>
        <w:t>班前班组长对本班人员的劳动防护用品、身体状况、精神状态及是否饮酒进行直观检查，发现不宜上岗时应立即采取措施。</w:t>
      </w:r>
    </w:p>
    <w:p>
      <w:pPr>
        <w:widowControl w:val="0"/>
        <w:ind w:firstLine="482"/>
      </w:pPr>
      <w:r>
        <w:rPr>
          <w:rFonts w:hint="eastAsia"/>
          <w:b/>
        </w:rPr>
        <w:t xml:space="preserve">第九条 </w:t>
      </w:r>
      <w:r>
        <w:rPr>
          <w:rFonts w:hint="eastAsia"/>
        </w:rPr>
        <w:t>班前班组</w:t>
      </w:r>
      <w:r>
        <w:t>全体人员面向</w:t>
      </w:r>
      <w:r>
        <w:rPr>
          <w:rFonts w:hint="eastAsia"/>
        </w:rPr>
        <w:t>“班前</w:t>
      </w:r>
      <w:r>
        <w:t>讲评台</w:t>
      </w:r>
      <w:r>
        <w:rPr>
          <w:rFonts w:hint="eastAsia"/>
        </w:rPr>
        <w:t>”列队</w:t>
      </w:r>
      <w:r>
        <w:t>集合，由</w:t>
      </w:r>
      <w:r>
        <w:rPr>
          <w:rFonts w:hint="eastAsia"/>
        </w:rPr>
        <w:t>“</w:t>
      </w:r>
      <w:r>
        <w:t>讲评人</w:t>
      </w:r>
      <w:r>
        <w:rPr>
          <w:rFonts w:hint="eastAsia"/>
        </w:rPr>
        <w:t>”站立于“讲评台”，</w:t>
      </w:r>
      <w:r>
        <w:t>面向班组全体人员</w:t>
      </w:r>
      <w:r>
        <w:rPr>
          <w:rFonts w:hint="eastAsia"/>
        </w:rPr>
        <w:t>进行</w:t>
      </w:r>
      <w:r>
        <w:t>班前安全讲话。</w:t>
      </w:r>
    </w:p>
    <w:p>
      <w:pPr>
        <w:widowControl w:val="0"/>
        <w:ind w:firstLine="482"/>
      </w:pPr>
      <w:r>
        <w:rPr>
          <w:rFonts w:hint="eastAsia"/>
          <w:b/>
        </w:rPr>
        <w:t xml:space="preserve">第十条 </w:t>
      </w:r>
      <w:r>
        <w:rPr>
          <w:rFonts w:hint="eastAsia"/>
        </w:rPr>
        <w:t>讲评人必须根据当天工作内容、作业环境和使用机具情况，并对本班人员进行相关工种安全操作规程、工序安全注意事项、安全防护用品使用、过程注意事项及应急措施等内容，进行有针对性的讲解、要求和强调。</w:t>
      </w:r>
    </w:p>
    <w:p>
      <w:pPr>
        <w:widowControl w:val="0"/>
        <w:ind w:firstLine="482"/>
      </w:pPr>
      <w:r>
        <w:rPr>
          <w:rFonts w:hint="eastAsia"/>
          <w:b/>
        </w:rPr>
        <w:t xml:space="preserve">第十一条 </w:t>
      </w:r>
      <w:r>
        <w:rPr>
          <w:rFonts w:hint="eastAsia"/>
        </w:rPr>
        <w:t>班组长/工区负责</w:t>
      </w:r>
      <w:r>
        <w:t>填写</w:t>
      </w:r>
      <w:r>
        <w:rPr>
          <w:rFonts w:hint="eastAsia"/>
        </w:rPr>
        <w:t>《班组安全活动记录表》，工区技术、设备、物资及门的人员积极参加班组班前安全讲话活动。</w:t>
      </w:r>
    </w:p>
    <w:p>
      <w:pPr>
        <w:widowControl w:val="0"/>
        <w:ind w:firstLine="482"/>
      </w:pPr>
      <w:r>
        <w:rPr>
          <w:rFonts w:hint="eastAsia"/>
          <w:b/>
        </w:rPr>
        <w:t xml:space="preserve">第十二条 </w:t>
      </w:r>
      <w:r>
        <w:rPr>
          <w:rFonts w:hint="eastAsia"/>
        </w:rPr>
        <w:t>班组其他人员，应认真按技术交底和班前讲话的有关要求进行施工，并相互监督，确保施工安全。</w:t>
      </w:r>
    </w:p>
    <w:p>
      <w:pPr>
        <w:widowControl w:val="0"/>
        <w:ind w:firstLine="482"/>
      </w:pPr>
      <w:r>
        <w:rPr>
          <w:rFonts w:hint="eastAsia"/>
          <w:b/>
        </w:rPr>
        <w:t xml:space="preserve">第十三条 </w:t>
      </w:r>
      <w:r>
        <w:rPr>
          <w:rFonts w:hint="eastAsia"/>
        </w:rPr>
        <w:t>施工过程中，班组长必须监督现场安全生产，带头遵守安全操作规程，拒绝违章指挥、违章操作及野蛮施工，正确使用防护用品和防护设施。</w:t>
      </w:r>
    </w:p>
    <w:p>
      <w:pPr>
        <w:widowControl w:val="0"/>
        <w:ind w:firstLine="482"/>
      </w:pPr>
      <w:r>
        <w:rPr>
          <w:rFonts w:hint="eastAsia"/>
          <w:b/>
        </w:rPr>
        <w:t xml:space="preserve">第十四条 </w:t>
      </w:r>
      <w:r>
        <w:rPr>
          <w:rFonts w:hint="eastAsia"/>
        </w:rPr>
        <w:t>作业结束后，班组长必须对现场进行检查，并对当天现场安全工作进行总结和讲评。如当班遗留的安全隐患未排除或需要提醒下个班组注意的，由班组长负责完成。</w:t>
      </w:r>
    </w:p>
    <w:p>
      <w:pPr>
        <w:widowControl w:val="0"/>
        <w:ind w:firstLine="482"/>
        <w:rPr>
          <w:rFonts w:ascii="仿宋_GB2312" w:hAnsi="仿宋_GB2312" w:eastAsia="仿宋_GB2312" w:cs="仿宋_GB2312"/>
          <w:sz w:val="32"/>
          <w:szCs w:val="32"/>
        </w:rPr>
      </w:pPr>
      <w:r>
        <w:rPr>
          <w:rFonts w:hint="eastAsia"/>
          <w:b/>
        </w:rPr>
        <w:t xml:space="preserve">第十五条 </w:t>
      </w:r>
      <w:r>
        <w:rPr>
          <w:rFonts w:hint="eastAsia"/>
        </w:rPr>
        <w:t>除</w:t>
      </w:r>
      <w:r>
        <w:t>班前安全讲话外，工区应</w:t>
      </w:r>
      <w:r>
        <w:rPr>
          <w:rFonts w:hint="eastAsia"/>
        </w:rPr>
        <w:t>积极</w:t>
      </w:r>
      <w:r>
        <w:t>组织</w:t>
      </w:r>
      <w:r>
        <w:rPr>
          <w:rFonts w:hint="eastAsia"/>
        </w:rPr>
        <w:t>开展其他形式多样</w:t>
      </w:r>
      <w:r>
        <w:t>的</w:t>
      </w:r>
      <w:r>
        <w:rPr>
          <w:rFonts w:hint="eastAsia"/>
        </w:rPr>
        <w:t>班组安全活动，突出工种特色，留存活动记录。</w:t>
      </w:r>
      <w:r>
        <w:rPr>
          <w:rFonts w:hint="eastAsia" w:ascii="仿宋_GB2312" w:hAnsi="仿宋_GB2312" w:eastAsia="仿宋_GB2312" w:cs="仿宋_GB2312"/>
          <w:sz w:val="32"/>
          <w:szCs w:val="32"/>
        </w:rPr>
        <w:t xml:space="preserve">  </w:t>
      </w:r>
    </w:p>
    <w:p>
      <w:pPr>
        <w:pStyle w:val="3"/>
        <w:widowControl w:val="0"/>
      </w:pPr>
      <w:r>
        <w:rPr>
          <w:rFonts w:hint="eastAsia"/>
        </w:rPr>
        <w:t>第五章 罚则</w:t>
      </w:r>
    </w:p>
    <w:p>
      <w:pPr>
        <w:widowControl w:val="0"/>
        <w:ind w:firstLine="482"/>
      </w:pPr>
      <w:r>
        <w:rPr>
          <w:rFonts w:hint="eastAsia"/>
          <w:b/>
        </w:rPr>
        <w:t xml:space="preserve">第十六条 </w:t>
      </w:r>
      <w:r>
        <w:rPr>
          <w:rFonts w:hint="eastAsia"/>
        </w:rPr>
        <w:t>班前安全管理出现违规而造成经营生产损失时，</w:t>
      </w:r>
      <w:r>
        <w:t>按《</w:t>
      </w:r>
      <w:r>
        <w:rPr>
          <w:rFonts w:hint="eastAsia"/>
        </w:rPr>
        <w:t>安全质量文明施工违约处罚实施细则</w:t>
      </w:r>
      <w:r>
        <w:t>》</w:t>
      </w:r>
      <w:r>
        <w:rPr>
          <w:rFonts w:hint="eastAsia"/>
        </w:rPr>
        <w:t>有关规定</w:t>
      </w:r>
      <w:r>
        <w:t>进行</w:t>
      </w:r>
      <w:r>
        <w:rPr>
          <w:rFonts w:hint="eastAsia"/>
        </w:rPr>
        <w:t>责任追究和</w:t>
      </w:r>
      <w:r>
        <w:t>处罚</w:t>
      </w:r>
      <w:r>
        <w:rPr>
          <w:rFonts w:hint="eastAsia"/>
        </w:rPr>
        <w:t>。</w:t>
      </w:r>
    </w:p>
    <w:p>
      <w:pPr>
        <w:widowControl w:val="0"/>
        <w:ind w:firstLine="482"/>
        <w:rPr>
          <w:rFonts w:ascii="仿宋_GB2312" w:hAnsi="仿宋_GB2312" w:cs="仿宋_GB2312"/>
          <w:szCs w:val="32"/>
        </w:rPr>
      </w:pPr>
      <w:r>
        <w:rPr>
          <w:rFonts w:hint="eastAsia"/>
          <w:b/>
        </w:rPr>
        <w:t xml:space="preserve">第十七条 </w:t>
      </w:r>
      <w:r>
        <w:rPr>
          <w:rFonts w:hint="eastAsia"/>
        </w:rPr>
        <w:t>工区因班前安全管理存在问题时，纳入工区月度</w:t>
      </w:r>
      <w:r>
        <w:t>、</w:t>
      </w:r>
      <w:r>
        <w:rPr>
          <w:rFonts w:hint="eastAsia"/>
        </w:rPr>
        <w:t>季度施工技术管理考评，同时列入总承包项目部对工区月度综合</w:t>
      </w:r>
      <w:r>
        <w:t>评比</w:t>
      </w:r>
      <w:r>
        <w:rPr>
          <w:rFonts w:hint="eastAsia"/>
        </w:rPr>
        <w:t>考核。</w:t>
      </w:r>
    </w:p>
    <w:p>
      <w:pPr>
        <w:adjustRightInd w:val="0"/>
        <w:spacing w:line="500" w:lineRule="exact"/>
        <w:ind w:firstLine="240" w:firstLineChars="100"/>
        <w:jc w:val="center"/>
        <w:textAlignment w:val="baseline"/>
        <w:rPr>
          <w:rFonts w:ascii="仿宋_GB2312" w:hAnsi="仿宋_GB2312" w:cs="仿宋_GB2312"/>
          <w:szCs w:val="32"/>
        </w:rPr>
      </w:pPr>
    </w:p>
    <w:p>
      <w:pPr>
        <w:widowControl w:val="0"/>
        <w:ind w:firstLine="482"/>
      </w:pPr>
      <w:r>
        <w:rPr>
          <w:rFonts w:hint="eastAsia"/>
          <w:b/>
          <w:bCs/>
        </w:rPr>
        <w:t>附件1：</w:t>
      </w:r>
      <w:r>
        <w:rPr>
          <w:rFonts w:hint="eastAsia"/>
        </w:rPr>
        <w:t>《班组安全活动记录表》</w:t>
      </w:r>
    </w:p>
    <w:p>
      <w:pPr>
        <w:widowControl w:val="0"/>
        <w:ind w:firstLine="480"/>
      </w:pPr>
      <w:r>
        <w:rPr>
          <w:rFonts w:hint="eastAsia"/>
        </w:rPr>
        <w:br w:type="page"/>
      </w: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附件1</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班组安全活动记录表</w:t>
      </w:r>
    </w:p>
    <w:p>
      <w:pPr>
        <w:spacing w:line="288" w:lineRule="auto"/>
        <w:ind w:firstLine="0" w:firstLineChars="0"/>
        <w:rPr>
          <w:rFonts w:ascii="宋体" w:hAnsi="宋体" w:eastAsia="宋体" w:cs="宋体"/>
          <w:b/>
          <w:bCs/>
          <w:color w:val="000000"/>
          <w:kern w:val="0"/>
        </w:rPr>
      </w:pPr>
      <w:r>
        <w:rPr>
          <w:rFonts w:hint="eastAsia" w:ascii="宋体" w:hAnsi="宋体" w:eastAsia="宋体" w:cs="宋体"/>
          <w:color w:val="000000"/>
          <w:kern w:val="0"/>
        </w:rPr>
        <w:t xml:space="preserve">作业班组:      </w:t>
      </w:r>
      <w:r>
        <w:rPr>
          <w:rFonts w:ascii="宋体" w:hAnsi="宋体" w:eastAsia="宋体" w:cs="宋体"/>
          <w:color w:val="000000"/>
          <w:kern w:val="0"/>
        </w:rPr>
        <w:t xml:space="preserve">  </w:t>
      </w:r>
      <w:r>
        <w:rPr>
          <w:rFonts w:hint="eastAsia" w:ascii="宋体" w:hAnsi="宋体" w:eastAsia="宋体" w:cs="宋体"/>
          <w:color w:val="000000"/>
          <w:kern w:val="0"/>
        </w:rPr>
        <w:t xml:space="preserve">           讲评人：             </w:t>
      </w:r>
      <w:r>
        <w:rPr>
          <w:rFonts w:ascii="宋体" w:hAnsi="宋体" w:eastAsia="宋体" w:cs="宋体"/>
          <w:color w:val="000000"/>
          <w:kern w:val="0"/>
        </w:rPr>
        <w:t xml:space="preserve">   </w:t>
      </w:r>
      <w:r>
        <w:rPr>
          <w:rFonts w:hint="eastAsia" w:ascii="宋体" w:hAnsi="宋体" w:eastAsia="宋体" w:cs="宋体"/>
          <w:color w:val="000000"/>
          <w:kern w:val="0"/>
        </w:rPr>
        <w:t xml:space="preserve"> 年 </w:t>
      </w:r>
      <w:r>
        <w:rPr>
          <w:rFonts w:ascii="宋体" w:hAnsi="宋体" w:eastAsia="宋体" w:cs="宋体"/>
          <w:color w:val="000000"/>
          <w:kern w:val="0"/>
        </w:rPr>
        <w:t xml:space="preserve">  </w:t>
      </w:r>
      <w:r>
        <w:rPr>
          <w:rFonts w:hint="eastAsia" w:ascii="宋体" w:hAnsi="宋体" w:eastAsia="宋体" w:cs="宋体"/>
          <w:color w:val="000000"/>
          <w:kern w:val="0"/>
        </w:rPr>
        <w:t xml:space="preserve"> </w:t>
      </w:r>
      <w:r>
        <w:rPr>
          <w:rFonts w:ascii="宋体" w:hAnsi="宋体" w:eastAsia="宋体" w:cs="宋体"/>
          <w:color w:val="000000"/>
          <w:kern w:val="0"/>
        </w:rPr>
        <w:t xml:space="preserve"> </w:t>
      </w:r>
      <w:r>
        <w:rPr>
          <w:rFonts w:hint="eastAsia" w:ascii="宋体" w:hAnsi="宋体" w:eastAsia="宋体" w:cs="宋体"/>
          <w:color w:val="000000"/>
          <w:kern w:val="0"/>
        </w:rPr>
        <w:t xml:space="preserve">月  </w:t>
      </w:r>
      <w:r>
        <w:rPr>
          <w:rFonts w:ascii="宋体" w:hAnsi="宋体" w:eastAsia="宋体" w:cs="宋体"/>
          <w:color w:val="000000"/>
          <w:kern w:val="0"/>
        </w:rPr>
        <w:t xml:space="preserve">   </w:t>
      </w:r>
      <w:r>
        <w:rPr>
          <w:rFonts w:hint="eastAsia" w:ascii="宋体" w:hAnsi="宋体" w:eastAsia="宋体" w:cs="宋体"/>
          <w:color w:val="000000"/>
          <w:kern w:val="0"/>
        </w:rPr>
        <w:t xml:space="preserve">日 </w:t>
      </w:r>
    </w:p>
    <w:tbl>
      <w:tblPr>
        <w:tblStyle w:val="22"/>
        <w:tblW w:w="88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459"/>
        <w:gridCol w:w="2200"/>
        <w:gridCol w:w="1237"/>
        <w:gridCol w:w="655"/>
        <w:gridCol w:w="656"/>
        <w:gridCol w:w="656"/>
        <w:gridCol w:w="655"/>
        <w:gridCol w:w="606"/>
        <w:gridCol w:w="7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6" w:hRule="atLeast"/>
          <w:jc w:val="center"/>
        </w:trPr>
        <w:tc>
          <w:tcPr>
            <w:tcW w:w="1459"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当班作业</w:t>
            </w:r>
          </w:p>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部位</w:t>
            </w:r>
          </w:p>
        </w:tc>
        <w:tc>
          <w:tcPr>
            <w:tcW w:w="2200"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当班作业内容</w:t>
            </w:r>
          </w:p>
        </w:tc>
        <w:tc>
          <w:tcPr>
            <w:tcW w:w="1237"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作业人数</w:t>
            </w:r>
          </w:p>
        </w:tc>
        <w:tc>
          <w:tcPr>
            <w:tcW w:w="3935" w:type="dxa"/>
            <w:gridSpan w:val="6"/>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符合规范：√；不符合规范：×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49" w:hRule="atLeast"/>
          <w:jc w:val="center"/>
        </w:trPr>
        <w:tc>
          <w:tcPr>
            <w:tcW w:w="1459" w:type="dxa"/>
            <w:vMerge w:val="restart"/>
            <w:vAlign w:val="center"/>
          </w:tcPr>
          <w:p>
            <w:pPr>
              <w:spacing w:line="240" w:lineRule="auto"/>
              <w:ind w:firstLine="0" w:firstLineChars="0"/>
              <w:jc w:val="center"/>
              <w:rPr>
                <w:rFonts w:ascii="宋体" w:hAnsi="宋体" w:eastAsia="宋体" w:cs="宋体"/>
                <w:color w:val="000000"/>
                <w:kern w:val="0"/>
                <w:szCs w:val="21"/>
              </w:rPr>
            </w:pPr>
          </w:p>
        </w:tc>
        <w:tc>
          <w:tcPr>
            <w:tcW w:w="2200" w:type="dxa"/>
            <w:vMerge w:val="restart"/>
            <w:vAlign w:val="center"/>
          </w:tcPr>
          <w:p>
            <w:pPr>
              <w:spacing w:line="240" w:lineRule="auto"/>
              <w:ind w:firstLine="0" w:firstLineChars="0"/>
              <w:jc w:val="center"/>
              <w:rPr>
                <w:rFonts w:ascii="宋体" w:hAnsi="宋体" w:eastAsia="宋体" w:cs="宋体"/>
                <w:color w:val="000000"/>
                <w:kern w:val="0"/>
                <w:szCs w:val="21"/>
              </w:rPr>
            </w:pPr>
          </w:p>
        </w:tc>
        <w:tc>
          <w:tcPr>
            <w:tcW w:w="1237" w:type="dxa"/>
            <w:vMerge w:val="restart"/>
            <w:vAlign w:val="center"/>
          </w:tcPr>
          <w:p>
            <w:pPr>
              <w:spacing w:line="240" w:lineRule="auto"/>
              <w:ind w:firstLine="0" w:firstLineChars="0"/>
              <w:jc w:val="center"/>
              <w:rPr>
                <w:rFonts w:ascii="宋体" w:hAnsi="宋体" w:eastAsia="宋体" w:cs="宋体"/>
                <w:color w:val="000000"/>
                <w:kern w:val="0"/>
                <w:szCs w:val="21"/>
              </w:rPr>
            </w:pPr>
          </w:p>
        </w:tc>
        <w:tc>
          <w:tcPr>
            <w:tcW w:w="655"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作业</w:t>
            </w:r>
          </w:p>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环境</w:t>
            </w:r>
          </w:p>
        </w:tc>
        <w:tc>
          <w:tcPr>
            <w:tcW w:w="656"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防护</w:t>
            </w:r>
          </w:p>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设施</w:t>
            </w:r>
          </w:p>
        </w:tc>
        <w:tc>
          <w:tcPr>
            <w:tcW w:w="656"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使用机具</w:t>
            </w:r>
          </w:p>
        </w:tc>
        <w:tc>
          <w:tcPr>
            <w:tcW w:w="655"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安全帽</w:t>
            </w:r>
          </w:p>
        </w:tc>
        <w:tc>
          <w:tcPr>
            <w:tcW w:w="606"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安全带</w:t>
            </w:r>
          </w:p>
        </w:tc>
        <w:tc>
          <w:tcPr>
            <w:tcW w:w="707"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其它防护用品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459" w:type="dxa"/>
            <w:vMerge w:val="continue"/>
            <w:vAlign w:val="center"/>
          </w:tcPr>
          <w:p>
            <w:pPr>
              <w:spacing w:line="240" w:lineRule="auto"/>
              <w:ind w:firstLine="0" w:firstLineChars="0"/>
              <w:jc w:val="center"/>
              <w:rPr>
                <w:rFonts w:ascii="宋体" w:hAnsi="宋体" w:eastAsia="宋体" w:cs="宋体"/>
                <w:color w:val="000000"/>
                <w:kern w:val="0"/>
                <w:szCs w:val="21"/>
              </w:rPr>
            </w:pPr>
          </w:p>
        </w:tc>
        <w:tc>
          <w:tcPr>
            <w:tcW w:w="2200" w:type="dxa"/>
            <w:vMerge w:val="continue"/>
            <w:vAlign w:val="center"/>
          </w:tcPr>
          <w:p>
            <w:pPr>
              <w:spacing w:line="240" w:lineRule="auto"/>
              <w:ind w:firstLine="0" w:firstLineChars="0"/>
              <w:jc w:val="center"/>
              <w:rPr>
                <w:rFonts w:ascii="宋体" w:hAnsi="宋体" w:eastAsia="宋体" w:cs="宋体"/>
                <w:color w:val="000000"/>
                <w:kern w:val="0"/>
                <w:szCs w:val="21"/>
              </w:rPr>
            </w:pPr>
          </w:p>
        </w:tc>
        <w:tc>
          <w:tcPr>
            <w:tcW w:w="1237" w:type="dxa"/>
            <w:vMerge w:val="continue"/>
            <w:vAlign w:val="center"/>
          </w:tcPr>
          <w:p>
            <w:pPr>
              <w:spacing w:line="240" w:lineRule="auto"/>
              <w:ind w:firstLine="0" w:firstLineChars="0"/>
              <w:jc w:val="center"/>
              <w:rPr>
                <w:rFonts w:ascii="宋体" w:hAnsi="宋体" w:eastAsia="宋体" w:cs="宋体"/>
                <w:color w:val="000000"/>
                <w:kern w:val="0"/>
                <w:szCs w:val="21"/>
              </w:rPr>
            </w:pPr>
          </w:p>
        </w:tc>
        <w:tc>
          <w:tcPr>
            <w:tcW w:w="655" w:type="dxa"/>
            <w:vAlign w:val="center"/>
          </w:tcPr>
          <w:p>
            <w:pPr>
              <w:spacing w:line="240" w:lineRule="auto"/>
              <w:ind w:firstLine="0" w:firstLineChars="0"/>
              <w:jc w:val="center"/>
              <w:rPr>
                <w:rFonts w:ascii="宋体" w:hAnsi="宋体" w:eastAsia="宋体" w:cs="宋体"/>
                <w:color w:val="000000"/>
                <w:kern w:val="0"/>
                <w:szCs w:val="21"/>
              </w:rPr>
            </w:pPr>
          </w:p>
        </w:tc>
        <w:tc>
          <w:tcPr>
            <w:tcW w:w="656" w:type="dxa"/>
            <w:vAlign w:val="center"/>
          </w:tcPr>
          <w:p>
            <w:pPr>
              <w:spacing w:line="240" w:lineRule="auto"/>
              <w:ind w:firstLine="0" w:firstLineChars="0"/>
              <w:jc w:val="center"/>
              <w:rPr>
                <w:rFonts w:ascii="宋体" w:hAnsi="宋体" w:eastAsia="宋体" w:cs="宋体"/>
                <w:color w:val="000000"/>
                <w:kern w:val="0"/>
                <w:szCs w:val="21"/>
              </w:rPr>
            </w:pPr>
          </w:p>
        </w:tc>
        <w:tc>
          <w:tcPr>
            <w:tcW w:w="656" w:type="dxa"/>
            <w:vAlign w:val="center"/>
          </w:tcPr>
          <w:p>
            <w:pPr>
              <w:spacing w:line="240" w:lineRule="auto"/>
              <w:ind w:firstLine="0" w:firstLineChars="0"/>
              <w:jc w:val="center"/>
              <w:rPr>
                <w:rFonts w:ascii="宋体" w:hAnsi="宋体" w:eastAsia="宋体" w:cs="宋体"/>
                <w:color w:val="000000"/>
                <w:kern w:val="0"/>
                <w:szCs w:val="21"/>
              </w:rPr>
            </w:pPr>
          </w:p>
        </w:tc>
        <w:tc>
          <w:tcPr>
            <w:tcW w:w="655" w:type="dxa"/>
            <w:vAlign w:val="center"/>
          </w:tcPr>
          <w:p>
            <w:pPr>
              <w:spacing w:line="240" w:lineRule="auto"/>
              <w:ind w:firstLine="0" w:firstLineChars="0"/>
              <w:jc w:val="center"/>
              <w:rPr>
                <w:rFonts w:ascii="宋体" w:hAnsi="宋体" w:eastAsia="宋体" w:cs="宋体"/>
                <w:color w:val="000000"/>
                <w:kern w:val="0"/>
                <w:szCs w:val="21"/>
              </w:rPr>
            </w:pPr>
          </w:p>
        </w:tc>
        <w:tc>
          <w:tcPr>
            <w:tcW w:w="606" w:type="dxa"/>
            <w:vAlign w:val="center"/>
          </w:tcPr>
          <w:p>
            <w:pPr>
              <w:spacing w:line="240" w:lineRule="auto"/>
              <w:ind w:firstLine="0" w:firstLineChars="0"/>
              <w:jc w:val="center"/>
              <w:rPr>
                <w:rFonts w:ascii="宋体" w:hAnsi="宋体" w:eastAsia="宋体" w:cs="宋体"/>
                <w:color w:val="000000"/>
                <w:kern w:val="0"/>
                <w:szCs w:val="21"/>
              </w:rPr>
            </w:pPr>
          </w:p>
        </w:tc>
        <w:tc>
          <w:tcPr>
            <w:tcW w:w="707" w:type="dxa"/>
            <w:vAlign w:val="center"/>
          </w:tcPr>
          <w:p>
            <w:pPr>
              <w:spacing w:line="240" w:lineRule="auto"/>
              <w:ind w:firstLine="0" w:firstLineChars="0"/>
              <w:jc w:val="center"/>
              <w:rPr>
                <w:rFonts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618" w:hRule="atLeast"/>
          <w:jc w:val="center"/>
        </w:trPr>
        <w:tc>
          <w:tcPr>
            <w:tcW w:w="1459"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班前安全讲</w:t>
            </w:r>
          </w:p>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话主要内容</w:t>
            </w:r>
          </w:p>
        </w:tc>
        <w:tc>
          <w:tcPr>
            <w:tcW w:w="7372" w:type="dxa"/>
            <w:gridSpan w:val="8"/>
            <w:vAlign w:val="center"/>
          </w:tcPr>
          <w:p>
            <w:pPr>
              <w:spacing w:line="240" w:lineRule="auto"/>
              <w:ind w:firstLine="0" w:firstLineChars="0"/>
              <w:jc w:val="center"/>
              <w:rPr>
                <w:rFonts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749" w:hRule="atLeast"/>
          <w:jc w:val="center"/>
        </w:trPr>
        <w:tc>
          <w:tcPr>
            <w:tcW w:w="1459"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班中安全</w:t>
            </w:r>
          </w:p>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检查情况（含发现的隐患）</w:t>
            </w:r>
          </w:p>
        </w:tc>
        <w:tc>
          <w:tcPr>
            <w:tcW w:w="7372" w:type="dxa"/>
            <w:gridSpan w:val="8"/>
            <w:vAlign w:val="center"/>
          </w:tcPr>
          <w:p>
            <w:pPr>
              <w:spacing w:line="240" w:lineRule="auto"/>
              <w:ind w:firstLine="0" w:firstLineChars="0"/>
              <w:jc w:val="center"/>
              <w:rPr>
                <w:rFonts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83" w:hRule="atLeast"/>
          <w:jc w:val="center"/>
        </w:trPr>
        <w:tc>
          <w:tcPr>
            <w:tcW w:w="1459"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班后安全总</w:t>
            </w:r>
          </w:p>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结及隐患整</w:t>
            </w:r>
          </w:p>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改情况</w:t>
            </w:r>
          </w:p>
        </w:tc>
        <w:tc>
          <w:tcPr>
            <w:tcW w:w="7372" w:type="dxa"/>
            <w:gridSpan w:val="8"/>
            <w:vAlign w:val="center"/>
          </w:tcPr>
          <w:p>
            <w:pPr>
              <w:spacing w:line="240" w:lineRule="auto"/>
              <w:ind w:firstLine="0" w:firstLineChars="0"/>
              <w:jc w:val="center"/>
              <w:rPr>
                <w:rFonts w:ascii="宋体" w:hAnsi="宋体"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83" w:hRule="atLeast"/>
          <w:jc w:val="center"/>
        </w:trPr>
        <w:tc>
          <w:tcPr>
            <w:tcW w:w="1459" w:type="dxa"/>
            <w:vAlign w:val="center"/>
          </w:tcPr>
          <w:p>
            <w:pPr>
              <w:spacing w:line="240" w:lineRule="auto"/>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班组人员签字</w:t>
            </w:r>
          </w:p>
        </w:tc>
        <w:tc>
          <w:tcPr>
            <w:tcW w:w="7372" w:type="dxa"/>
            <w:gridSpan w:val="8"/>
            <w:vAlign w:val="center"/>
          </w:tcPr>
          <w:p>
            <w:pPr>
              <w:spacing w:line="240" w:lineRule="auto"/>
              <w:ind w:firstLine="0" w:firstLineChars="0"/>
              <w:jc w:val="center"/>
              <w:rPr>
                <w:rFonts w:ascii="宋体" w:hAnsi="宋体" w:eastAsia="宋体" w:cs="宋体"/>
                <w:color w:val="000000"/>
                <w:kern w:val="0"/>
                <w:szCs w:val="21"/>
              </w:rPr>
            </w:pPr>
          </w:p>
        </w:tc>
      </w:tr>
    </w:tbl>
    <w:p>
      <w:pPr>
        <w:spacing w:line="240" w:lineRule="auto"/>
        <w:ind w:firstLine="0" w:firstLineChars="0"/>
        <w:jc w:val="left"/>
        <w:sectPr>
          <w:footerReference r:id="rId17" w:type="default"/>
          <w:pgSz w:w="11850" w:h="16783"/>
          <w:pgMar w:top="2098" w:right="1474" w:bottom="1985" w:left="1588" w:header="851" w:footer="992" w:gutter="0"/>
          <w:cols w:space="425" w:num="1"/>
          <w:docGrid w:type="lines" w:linePitch="312" w:charSpace="0"/>
        </w:sectPr>
      </w:pPr>
      <w:r>
        <w:rPr>
          <w:rFonts w:hint="eastAsia" w:ascii="宋体" w:hAnsi="宋体" w:eastAsia="宋体" w:cs="宋体"/>
          <w:color w:val="000000"/>
          <w:kern w:val="0"/>
          <w:szCs w:val="21"/>
        </w:rPr>
        <w:t>记录人：</w:t>
      </w:r>
      <w:r>
        <w:rPr>
          <w:rFonts w:ascii="宋体" w:hAnsi="宋体" w:eastAsia="宋体"/>
        </w:rPr>
        <w:t xml:space="preserve">  </w:t>
      </w:r>
    </w:p>
    <w:p>
      <w:pPr>
        <w:pStyle w:val="2"/>
        <w:rPr>
          <w:rFonts w:ascii="仿宋_GB2312" w:hAnsi="仿宋_GB2312" w:cs="仿宋_GB2312"/>
          <w:szCs w:val="32"/>
        </w:rPr>
      </w:pPr>
      <w:bookmarkStart w:id="168" w:name="_Toc9444"/>
      <w:r>
        <w:rPr>
          <w:rFonts w:hint="eastAsia" w:ascii="仿宋_GB2312" w:hAnsi="仿宋_GB2312" w:cs="仿宋_GB2312"/>
          <w:szCs w:val="32"/>
        </w:rPr>
        <w:t>十九、环境与卫生管理制度</w:t>
      </w:r>
      <w:bookmarkEnd w:id="168"/>
    </w:p>
    <w:p>
      <w:pPr>
        <w:pStyle w:val="3"/>
        <w:widowControl w:val="0"/>
      </w:pPr>
      <w:r>
        <w:rPr>
          <w:rFonts w:hint="eastAsia"/>
        </w:rPr>
        <w:t>第一章 总则</w:t>
      </w:r>
    </w:p>
    <w:p>
      <w:pPr>
        <w:widowControl w:val="0"/>
        <w:ind w:firstLine="482"/>
      </w:pPr>
      <w:r>
        <w:rPr>
          <w:rFonts w:hint="eastAsia"/>
          <w:b/>
        </w:rPr>
        <w:t>第一条</w:t>
      </w:r>
      <w:r>
        <w:rPr>
          <w:rFonts w:hint="eastAsia"/>
        </w:rPr>
        <w:t xml:space="preserve"> 根据《建设工程施工现场环境与卫生标准》（</w:t>
      </w:r>
      <w:r>
        <w:t>JGJ146-2013</w:t>
      </w:r>
      <w:r>
        <w:rPr>
          <w:rFonts w:hint="eastAsia"/>
        </w:rPr>
        <w:t>）、《市政工程施工安全检查标准》（CJJ/T275-2018）、《浙江省建筑施工安全标准化管理规定》（浙建建[2012]54 号）、《浙江省市政工程施工现场安全文明施工标准化管理指导手册》等有关法律、法规、规章，为进一步提高台州</w:t>
      </w:r>
      <w:r>
        <w:t>市域铁路</w:t>
      </w:r>
      <w:r>
        <w:rPr>
          <w:rFonts w:hint="eastAsia"/>
        </w:rPr>
        <w:t>S1线一期PPP项目工程总承包项目部（以下简称“总承包项目部”）施工现场的工作环境和生活条件，创建整洁文明的施工现场，特制定本制度。</w:t>
      </w:r>
    </w:p>
    <w:p>
      <w:pPr>
        <w:widowControl w:val="0"/>
        <w:ind w:firstLine="482"/>
      </w:pPr>
      <w:r>
        <w:rPr>
          <w:rFonts w:hint="eastAsia"/>
          <w:b/>
        </w:rPr>
        <w:t xml:space="preserve">第二条 </w:t>
      </w:r>
      <w:r>
        <w:rPr>
          <w:rFonts w:hint="eastAsia"/>
        </w:rPr>
        <w:t>本制度适用总承包项目部所属各</w:t>
      </w:r>
      <w:r>
        <w:t>工区</w:t>
      </w:r>
      <w:r>
        <w:rPr>
          <w:rFonts w:hint="eastAsia"/>
        </w:rPr>
        <w:t>，环境与卫生的管理应符合本制度要求，当浙江省、</w:t>
      </w:r>
      <w:r>
        <w:t>台州市</w:t>
      </w:r>
      <w:r>
        <w:rPr>
          <w:rFonts w:hint="eastAsia"/>
        </w:rPr>
        <w:t>地方或行业主管部门另有规定时，应同时执行。</w:t>
      </w:r>
    </w:p>
    <w:p>
      <w:pPr>
        <w:pStyle w:val="3"/>
        <w:widowControl w:val="0"/>
      </w:pPr>
      <w:r>
        <w:rPr>
          <w:rFonts w:hint="eastAsia"/>
        </w:rPr>
        <w:t>第二章 基本规定</w:t>
      </w:r>
    </w:p>
    <w:p>
      <w:pPr>
        <w:widowControl w:val="0"/>
        <w:ind w:firstLine="482"/>
      </w:pPr>
      <w:r>
        <w:rPr>
          <w:rFonts w:hint="eastAsia"/>
          <w:b/>
        </w:rPr>
        <w:t xml:space="preserve">第三条 </w:t>
      </w:r>
      <w:r>
        <w:rPr>
          <w:rFonts w:hint="eastAsia"/>
        </w:rPr>
        <w:t>施工现场应建立环境与卫生制度，落实管理责任制，应定期检查并记录。</w:t>
      </w:r>
    </w:p>
    <w:p>
      <w:pPr>
        <w:widowControl w:val="0"/>
        <w:ind w:firstLine="482"/>
      </w:pPr>
      <w:r>
        <w:rPr>
          <w:rFonts w:hint="eastAsia"/>
          <w:b/>
        </w:rPr>
        <w:t xml:space="preserve">第四条 </w:t>
      </w:r>
      <w:r>
        <w:rPr>
          <w:rFonts w:hint="eastAsia"/>
        </w:rPr>
        <w:t>各工区应根据季节气候特点，做好施工人员的饮食卫生和防暑降温、防寒保暖、防中毒、卫生防疫等工作。</w:t>
      </w:r>
    </w:p>
    <w:p>
      <w:pPr>
        <w:widowControl w:val="0"/>
        <w:ind w:firstLine="482"/>
      </w:pPr>
      <w:r>
        <w:rPr>
          <w:rFonts w:hint="eastAsia"/>
          <w:b/>
        </w:rPr>
        <w:t xml:space="preserve">第五条 </w:t>
      </w:r>
      <w:r>
        <w:rPr>
          <w:rFonts w:hint="eastAsia"/>
        </w:rPr>
        <w:t>建立环境卫生管理的责任区为创造良好的工作环境，养成良好的文明施工作风，增进职工身体健康，施工区域和生活区域应有明确划分，把施工区和生活区分成若干片，分片包干，建立责任区，从道路交通、消防器材、材料堆放、垃圾、厕所、厨房，宿舍、火炉、吸烟都有专人负责，使文明施工保持经常化。</w:t>
      </w:r>
    </w:p>
    <w:p>
      <w:pPr>
        <w:pStyle w:val="3"/>
        <w:widowControl w:val="0"/>
      </w:pPr>
      <w:r>
        <w:rPr>
          <w:rFonts w:hint="eastAsia"/>
        </w:rPr>
        <w:t>第三章 职责</w:t>
      </w:r>
    </w:p>
    <w:p>
      <w:pPr>
        <w:widowControl w:val="0"/>
        <w:ind w:firstLine="482"/>
      </w:pPr>
      <w:r>
        <w:rPr>
          <w:rFonts w:hint="eastAsia"/>
          <w:b/>
        </w:rPr>
        <w:t xml:space="preserve">第六条 </w:t>
      </w:r>
      <w:r>
        <w:rPr>
          <w:rFonts w:hint="eastAsia"/>
        </w:rPr>
        <w:t>总承包项目部</w:t>
      </w:r>
    </w:p>
    <w:p>
      <w:pPr>
        <w:widowControl w:val="0"/>
        <w:ind w:firstLine="480"/>
      </w:pPr>
      <w:r>
        <w:rPr>
          <w:rFonts w:hint="eastAsia"/>
        </w:rPr>
        <w:t>（一）主要负责人对本单位施工区、生活区、食堂等的环境与卫生全面负责，</w:t>
      </w:r>
      <w:r>
        <w:t>并按要求</w:t>
      </w:r>
      <w:r>
        <w:rPr>
          <w:rFonts w:hint="eastAsia"/>
        </w:rPr>
        <w:t>建立环境与卫生管理责任制度。</w:t>
      </w:r>
    </w:p>
    <w:p>
      <w:pPr>
        <w:widowControl w:val="0"/>
        <w:ind w:firstLine="480"/>
      </w:pPr>
      <w:r>
        <w:rPr>
          <w:rFonts w:hint="eastAsia"/>
        </w:rPr>
        <w:t>（二）每月对环境与卫生管理情况和“五小设施”情况进行监督检查，</w:t>
      </w:r>
      <w:r>
        <w:t>并形成检查记录</w:t>
      </w:r>
      <w:r>
        <w:rPr>
          <w:rFonts w:hint="eastAsia"/>
        </w:rPr>
        <w:t>。</w:t>
      </w:r>
    </w:p>
    <w:p>
      <w:pPr>
        <w:widowControl w:val="0"/>
        <w:ind w:firstLine="480"/>
      </w:pPr>
      <w:r>
        <w:rPr>
          <w:rFonts w:hint="eastAsia"/>
        </w:rPr>
        <w:t>（三）发现环境与卫生管理有下列情况的，应立即下发通知，</w:t>
      </w:r>
      <w:r>
        <w:t>限期整改</w:t>
      </w:r>
      <w:r>
        <w:rPr>
          <w:rFonts w:hint="eastAsia"/>
        </w:rPr>
        <w:t>。</w:t>
      </w:r>
    </w:p>
    <w:p>
      <w:pPr>
        <w:widowControl w:val="0"/>
        <w:ind w:firstLine="480"/>
      </w:pPr>
      <w:r>
        <w:rPr>
          <w:rFonts w:hint="eastAsia"/>
        </w:rPr>
        <w:t>a、未按要求建立环境与卫生管理责任制度的；</w:t>
      </w:r>
    </w:p>
    <w:p>
      <w:pPr>
        <w:widowControl w:val="0"/>
        <w:ind w:firstLine="480"/>
      </w:pPr>
      <w:r>
        <w:rPr>
          <w:rFonts w:hint="eastAsia"/>
        </w:rPr>
        <w:t>b、未对现场管理人员和作业人员其进行必要的环境与卫生教育培训的；</w:t>
      </w:r>
    </w:p>
    <w:p>
      <w:pPr>
        <w:widowControl w:val="0"/>
        <w:ind w:firstLine="480"/>
      </w:pPr>
      <w:r>
        <w:rPr>
          <w:rFonts w:hint="eastAsia"/>
        </w:rPr>
        <w:t>c、不符合《建设工程“五小设施”验收表》（附件1）中</w:t>
      </w:r>
      <w:r>
        <w:t>要求的</w:t>
      </w:r>
      <w:r>
        <w:rPr>
          <w:rFonts w:hint="eastAsia"/>
        </w:rPr>
        <w:t>；</w:t>
      </w:r>
    </w:p>
    <w:p>
      <w:pPr>
        <w:widowControl w:val="0"/>
        <w:ind w:firstLine="480"/>
      </w:pPr>
      <w:r>
        <w:rPr>
          <w:rFonts w:hint="eastAsia"/>
        </w:rPr>
        <w:t>d、对检查人员提出的整改要求不认真履行整改义务的；</w:t>
      </w:r>
    </w:p>
    <w:p>
      <w:pPr>
        <w:widowControl w:val="0"/>
        <w:ind w:firstLine="480"/>
        <w:rPr>
          <w:rFonts w:ascii="仿宋_GB2312" w:hAnsi="仿宋_GB2312" w:cs="仿宋_GB2312"/>
          <w:szCs w:val="32"/>
        </w:rPr>
      </w:pPr>
      <w:r>
        <w:rPr>
          <w:rFonts w:hint="eastAsia"/>
        </w:rPr>
        <w:t>e、有其他违法违规行为的。</w:t>
      </w:r>
    </w:p>
    <w:p>
      <w:pPr>
        <w:widowControl w:val="0"/>
        <w:ind w:firstLine="482"/>
      </w:pPr>
      <w:r>
        <w:rPr>
          <w:rFonts w:hint="eastAsia"/>
          <w:b/>
        </w:rPr>
        <w:t xml:space="preserve">第七条 </w:t>
      </w:r>
      <w:r>
        <w:rPr>
          <w:rFonts w:hint="eastAsia"/>
        </w:rPr>
        <w:t>工区</w:t>
      </w:r>
    </w:p>
    <w:p>
      <w:pPr>
        <w:widowControl w:val="0"/>
        <w:ind w:firstLine="480"/>
      </w:pPr>
      <w:r>
        <w:rPr>
          <w:rFonts w:hint="eastAsia"/>
        </w:rPr>
        <w:t>（一）根据有关法律、规范的要求，制定并落实本工区环境与卫生管理制度及注意事项。</w:t>
      </w:r>
    </w:p>
    <w:p>
      <w:pPr>
        <w:widowControl w:val="0"/>
        <w:ind w:firstLine="480"/>
      </w:pPr>
      <w:r>
        <w:rPr>
          <w:rFonts w:hint="eastAsia"/>
        </w:rPr>
        <w:t>（二）严格按照环境与</w:t>
      </w:r>
      <w:r>
        <w:t>卫生相关标准和规定</w:t>
      </w:r>
      <w:r>
        <w:rPr>
          <w:rFonts w:hint="eastAsia"/>
        </w:rPr>
        <w:t>规划</w:t>
      </w:r>
      <w:r>
        <w:t>、建设临时设施</w:t>
      </w:r>
      <w:r>
        <w:rPr>
          <w:rFonts w:hint="eastAsia"/>
        </w:rPr>
        <w:t>，满足绿色施工</w:t>
      </w:r>
      <w:r>
        <w:t>、</w:t>
      </w:r>
      <w:r>
        <w:rPr>
          <w:rFonts w:hint="eastAsia"/>
        </w:rPr>
        <w:t>环境卫生要求投入相关</w:t>
      </w:r>
      <w:r>
        <w:t>费用、设施、设备</w:t>
      </w:r>
      <w:r>
        <w:rPr>
          <w:rFonts w:hint="eastAsia"/>
        </w:rPr>
        <w:t>。</w:t>
      </w:r>
    </w:p>
    <w:p>
      <w:pPr>
        <w:widowControl w:val="0"/>
        <w:ind w:firstLine="480"/>
      </w:pPr>
      <w:r>
        <w:rPr>
          <w:rFonts w:hint="eastAsia"/>
        </w:rPr>
        <w:t>（三）施工中应采取防治大气、水土、光源、噪声污染和改善环境卫生的有效措施。</w:t>
      </w:r>
    </w:p>
    <w:p>
      <w:pPr>
        <w:widowControl w:val="0"/>
        <w:ind w:firstLine="480"/>
      </w:pPr>
      <w:r>
        <w:rPr>
          <w:rFonts w:hint="eastAsia"/>
        </w:rPr>
        <w:t>（四）根据法律的规定，针对可能发生的环境、卫生等突发事件建立应急管理体系，制定相应的应急预案并组织演练。</w:t>
      </w:r>
    </w:p>
    <w:p>
      <w:pPr>
        <w:widowControl w:val="0"/>
        <w:ind w:firstLine="480"/>
      </w:pPr>
      <w:r>
        <w:rPr>
          <w:rFonts w:hint="eastAsia"/>
        </w:rPr>
        <w:t>（五）施工人员的教育培训、考核应包括环境与卫生等有关内容。</w:t>
      </w:r>
    </w:p>
    <w:p>
      <w:pPr>
        <w:pStyle w:val="3"/>
        <w:widowControl w:val="0"/>
      </w:pPr>
      <w:r>
        <w:rPr>
          <w:rFonts w:hint="eastAsia"/>
        </w:rPr>
        <w:t>第四章 环境卫生管理措施</w:t>
      </w:r>
    </w:p>
    <w:p>
      <w:pPr>
        <w:widowControl w:val="0"/>
        <w:ind w:firstLine="482"/>
      </w:pPr>
      <w:r>
        <w:rPr>
          <w:rFonts w:hint="eastAsia"/>
          <w:b/>
        </w:rPr>
        <w:t xml:space="preserve">第八条 </w:t>
      </w:r>
      <w:r>
        <w:rPr>
          <w:rFonts w:hint="eastAsia"/>
        </w:rPr>
        <w:t>施工区</w:t>
      </w:r>
    </w:p>
    <w:p>
      <w:pPr>
        <w:widowControl w:val="0"/>
        <w:ind w:firstLine="480"/>
      </w:pPr>
      <w:r>
        <w:rPr>
          <w:rFonts w:hint="eastAsia"/>
        </w:rPr>
        <w:t>（一）施工现场项目部办公区与生活区应采取安全隔离措施，严禁在施工作业范围内设置生活区。办公与生活区应设置围墙与外界隔离，围墙高度市区一般不低于2.5m，其他地方不低于1.8m，围墙应修筑坚固、稳定、整洁、美观、防倾倒。</w:t>
      </w:r>
    </w:p>
    <w:p>
      <w:pPr>
        <w:widowControl w:val="0"/>
        <w:ind w:firstLine="480"/>
      </w:pPr>
      <w:r>
        <w:rPr>
          <w:rFonts w:hint="eastAsia"/>
        </w:rPr>
        <w:t>（二）施工现场出入口应标有企业名称或企业标识。主要出入口明显处应设置八牌二图。</w:t>
      </w:r>
    </w:p>
    <w:p>
      <w:pPr>
        <w:widowControl w:val="0"/>
        <w:ind w:firstLine="480"/>
      </w:pPr>
      <w:r>
        <w:rPr>
          <w:rFonts w:hint="eastAsia"/>
        </w:rPr>
        <w:t>（三）施工现场的主要道路要进行硬化处理。裸露的场地和堆放的土方应采取覆盖、固化或绿化等措施。施工现场土方作业应采取防止扬尘措施，主要道路应定期清扫、洒水。</w:t>
      </w:r>
    </w:p>
    <w:p>
      <w:pPr>
        <w:widowControl w:val="0"/>
        <w:ind w:firstLine="480"/>
      </w:pPr>
      <w:r>
        <w:rPr>
          <w:rFonts w:hint="eastAsia"/>
        </w:rPr>
        <w:t>（四）施工现场应天天打扫，保持整洁卫生，场地平整，道路畅通，做到无积水，有排水措施。</w:t>
      </w:r>
    </w:p>
    <w:p>
      <w:pPr>
        <w:widowControl w:val="0"/>
        <w:ind w:firstLine="480"/>
      </w:pPr>
      <w:r>
        <w:rPr>
          <w:rFonts w:hint="eastAsia"/>
        </w:rPr>
        <w:t>（五）施工现场应设固定的男、女浴室和厕所，并应保证结构安全、可防风雨。淋浴室和厕所的天棚、墙面刷白，墙裙、便槽贴面砖，地面铺设防滑地砖，实行专人管理、及时清扫，保持整洁，应有灭蚊蝇和防治蚊蝇孳生措施。</w:t>
      </w:r>
    </w:p>
    <w:p>
      <w:pPr>
        <w:widowControl w:val="0"/>
        <w:ind w:firstLine="480"/>
      </w:pPr>
      <w:r>
        <w:rPr>
          <w:rFonts w:hint="eastAsia"/>
        </w:rPr>
        <w:t>（六）施工现场严禁大小便，发现有随地大小便现象要对责任区负责人进行处罚。施工区应有明确划分，设置标志牌，标牌上注明姓名和管理范围。</w:t>
      </w:r>
    </w:p>
    <w:p>
      <w:pPr>
        <w:widowControl w:val="0"/>
        <w:ind w:firstLine="480"/>
      </w:pPr>
      <w:r>
        <w:rPr>
          <w:rFonts w:hint="eastAsia"/>
        </w:rPr>
        <w:t>（七）施工现场零散材料和垃圾，要及时清理，垃圾临时存放不得超过三天，如违反本条规定处罚工地负责人。</w:t>
      </w:r>
    </w:p>
    <w:p>
      <w:pPr>
        <w:widowControl w:val="0"/>
        <w:ind w:firstLine="480"/>
      </w:pPr>
      <w:r>
        <w:rPr>
          <w:rFonts w:hint="eastAsia"/>
        </w:rPr>
        <w:t>（八）为了广大职工身体健康，施工现场必须设置保温桶和开水(水杯自备)，公用杯子必须采取消毒措施。</w:t>
      </w:r>
    </w:p>
    <w:p>
      <w:pPr>
        <w:widowControl w:val="0"/>
        <w:ind w:firstLine="480"/>
      </w:pPr>
      <w:r>
        <w:rPr>
          <w:rFonts w:hint="eastAsia"/>
        </w:rPr>
        <w:t>（九）施工现场设置职工宿舍的，应集中统一布置，保证安全、环境卫生。严禁采用钢管、毛竹、彩条布及脚手片等搭设的简易工棚做宿舍。</w:t>
      </w:r>
    </w:p>
    <w:p>
      <w:pPr>
        <w:widowControl w:val="0"/>
        <w:ind w:firstLine="482"/>
      </w:pPr>
      <w:r>
        <w:rPr>
          <w:rFonts w:hint="eastAsia"/>
          <w:b/>
        </w:rPr>
        <w:t xml:space="preserve">第九条 </w:t>
      </w:r>
      <w:r>
        <w:rPr>
          <w:rFonts w:hint="eastAsia"/>
        </w:rPr>
        <w:t>宿舍环境卫生管理措施</w:t>
      </w:r>
    </w:p>
    <w:p>
      <w:pPr>
        <w:widowControl w:val="0"/>
        <w:ind w:firstLine="480"/>
      </w:pPr>
      <w:r>
        <w:rPr>
          <w:rFonts w:hint="eastAsia"/>
        </w:rPr>
        <w:t>（一）职工宿舍做到天天打扫，保持清洁卫生，清扫垃圾倒在指定的垃圾站堆放，及时清理。</w:t>
      </w:r>
    </w:p>
    <w:p>
      <w:pPr>
        <w:widowControl w:val="0"/>
        <w:ind w:firstLine="480"/>
      </w:pPr>
      <w:r>
        <w:rPr>
          <w:rFonts w:hint="eastAsia"/>
        </w:rPr>
        <w:t>（二）宿舍应建立卫生管理制度，宿舍人员名单应上墙。宿舍内应配置生活用品专柜和脸盆架。室内应保持通风、整洁，生活用品整齐堆放，禁止摆放作业材料和工具。</w:t>
      </w:r>
    </w:p>
    <w:p>
      <w:pPr>
        <w:widowControl w:val="0"/>
        <w:ind w:firstLine="480"/>
      </w:pPr>
      <w:r>
        <w:rPr>
          <w:rFonts w:hint="eastAsia"/>
        </w:rPr>
        <w:t>（三）生活废水应有污水池，做到卫生区内无污水，无污物。废水不得乱流。</w:t>
      </w:r>
    </w:p>
    <w:p>
      <w:pPr>
        <w:widowControl w:val="0"/>
        <w:ind w:firstLine="480"/>
      </w:pPr>
      <w:r>
        <w:rPr>
          <w:rFonts w:hint="eastAsia"/>
        </w:rPr>
        <w:t>（四）宿舍值班人员负责当天的卫生工作，禁止其它人员乱扔废纸、废物，不准随地吐痰。</w:t>
      </w:r>
    </w:p>
    <w:p>
      <w:pPr>
        <w:widowControl w:val="0"/>
        <w:ind w:firstLine="480"/>
      </w:pPr>
      <w:r>
        <w:rPr>
          <w:rFonts w:hint="eastAsia"/>
        </w:rPr>
        <w:t>（五）宿舍内夏季应有消暑降温和防蚊虫叮咬措施；冬季应有保暖和防煤气中毒措施。严禁以焚烧和使用煤气、大功率电气取暖器方式取暖。有条件的可安装空调。</w:t>
      </w:r>
    </w:p>
    <w:p>
      <w:pPr>
        <w:widowControl w:val="0"/>
        <w:ind w:firstLine="480"/>
      </w:pPr>
      <w:r>
        <w:rPr>
          <w:rFonts w:hint="eastAsia"/>
        </w:rPr>
        <w:t>（六）宿舍内宜设置烟感报警装置。</w:t>
      </w:r>
    </w:p>
    <w:p>
      <w:pPr>
        <w:widowControl w:val="0"/>
        <w:ind w:firstLine="482"/>
      </w:pPr>
      <w:r>
        <w:rPr>
          <w:rFonts w:hint="eastAsia"/>
          <w:b/>
        </w:rPr>
        <w:t xml:space="preserve">第十条 </w:t>
      </w:r>
      <w:r>
        <w:rPr>
          <w:rFonts w:hint="eastAsia"/>
        </w:rPr>
        <w:t>办公室环境卫生管理措施</w:t>
      </w:r>
    </w:p>
    <w:p>
      <w:pPr>
        <w:widowControl w:val="0"/>
        <w:ind w:firstLine="480"/>
      </w:pPr>
      <w:r>
        <w:rPr>
          <w:rFonts w:hint="eastAsia"/>
        </w:rPr>
        <w:t>（一）办公室全体人员轮流值班，负责打扫，排出值班表。</w:t>
      </w:r>
    </w:p>
    <w:p>
      <w:pPr>
        <w:widowControl w:val="0"/>
        <w:ind w:firstLine="480"/>
      </w:pPr>
      <w:r>
        <w:rPr>
          <w:rFonts w:hint="eastAsia"/>
        </w:rPr>
        <w:t>（二）值班人员负责打扫卫生、打水，做好来访记录，整理文具。文具应摆放整齐。做到窗明地净，无蝇、无鼠。</w:t>
      </w:r>
    </w:p>
    <w:p>
      <w:pPr>
        <w:widowControl w:val="0"/>
        <w:ind w:firstLine="480"/>
      </w:pPr>
      <w:r>
        <w:rPr>
          <w:rFonts w:hint="eastAsia"/>
        </w:rPr>
        <w:t>（三）办公区的通道、楼梯处应设置应急疏散、逃生指示标识和应急照明灯。</w:t>
      </w:r>
    </w:p>
    <w:p>
      <w:pPr>
        <w:widowControl w:val="0"/>
        <w:ind w:firstLine="482"/>
      </w:pPr>
      <w:r>
        <w:rPr>
          <w:rFonts w:hint="eastAsia"/>
          <w:b/>
        </w:rPr>
        <w:t xml:space="preserve">第十一条 </w:t>
      </w:r>
      <w:r>
        <w:rPr>
          <w:rFonts w:hint="eastAsia"/>
        </w:rPr>
        <w:t>食堂环境卫生管理措施</w:t>
      </w:r>
    </w:p>
    <w:p>
      <w:pPr>
        <w:widowControl w:val="0"/>
        <w:ind w:firstLine="480"/>
      </w:pPr>
      <w:r>
        <w:rPr>
          <w:rFonts w:hint="eastAsia"/>
        </w:rPr>
        <w:t>（一）根据《食品卫生法》规定，依照食堂规模的大小，入伙人数的多少，应当有相应的食品原料处理、加工，贮存等场所及必要的上、下水等卫生设施。要做到防尘、防蝇，与污染源应保持一定的距离，并保持内外环境的整洁。</w:t>
      </w:r>
    </w:p>
    <w:p>
      <w:pPr>
        <w:widowControl w:val="0"/>
        <w:ind w:firstLine="480"/>
      </w:pPr>
      <w:r>
        <w:rPr>
          <w:rFonts w:hint="eastAsia"/>
        </w:rPr>
        <w:t>（二）食堂应设置在远离厕所、垃圾站、有毒有害场所等有污染源的地方。</w:t>
      </w:r>
    </w:p>
    <w:p>
      <w:pPr>
        <w:widowControl w:val="0"/>
        <w:ind w:firstLine="480"/>
      </w:pPr>
      <w:r>
        <w:rPr>
          <w:rFonts w:hint="eastAsia"/>
        </w:rPr>
        <w:t>（三）食堂必须有《餐饮服务卫生许可证》，炊事人员必须持健康证上岗。炊事人员上岗应穿戴洁净的工作服、工作帽和口罩，并应保持个人卫生，定期参加体检。</w:t>
      </w:r>
    </w:p>
    <w:p>
      <w:pPr>
        <w:widowControl w:val="0"/>
        <w:ind w:firstLine="480"/>
      </w:pPr>
      <w:r>
        <w:rPr>
          <w:rFonts w:hint="eastAsia"/>
        </w:rPr>
        <w:t>（四）食堂应设置冲洗池、清洗池、消毒池、隔油池，设置密闭式泔水桶。生活垃圾应及时清运。地面应做硬化和防滑处理。门窗应安装配置纱门纱窗。</w:t>
      </w:r>
    </w:p>
    <w:p>
      <w:pPr>
        <w:widowControl w:val="0"/>
        <w:ind w:firstLine="480"/>
      </w:pPr>
      <w:r>
        <w:rPr>
          <w:rFonts w:hint="eastAsia"/>
        </w:rPr>
        <w:t>（五）食堂应设置独立的操作间、售（菜）饭间、储藏间和燃气罐存放间。食品、烹调用品应离地隔板存放。大米和蔬菜应离地20cm 搁置存放。应加强炊事刀具管理。</w:t>
      </w:r>
    </w:p>
    <w:p>
      <w:pPr>
        <w:widowControl w:val="0"/>
        <w:ind w:firstLine="480"/>
      </w:pPr>
      <w:r>
        <w:rPr>
          <w:rFonts w:hint="eastAsia"/>
        </w:rPr>
        <w:t>（六）食堂应配备机械排风和消毒设施。操作间应安装油烟净化器。</w:t>
      </w:r>
    </w:p>
    <w:p>
      <w:pPr>
        <w:pStyle w:val="3"/>
        <w:widowControl w:val="0"/>
      </w:pPr>
      <w:r>
        <w:rPr>
          <w:rFonts w:hint="eastAsia"/>
        </w:rPr>
        <w:t>第五章 罚则</w:t>
      </w:r>
    </w:p>
    <w:p>
      <w:pPr>
        <w:widowControl w:val="0"/>
        <w:ind w:firstLine="482"/>
      </w:pPr>
      <w:r>
        <w:rPr>
          <w:rFonts w:hint="eastAsia"/>
          <w:b/>
        </w:rPr>
        <w:t xml:space="preserve">第十二条 </w:t>
      </w:r>
      <w:r>
        <w:rPr>
          <w:rFonts w:hint="eastAsia"/>
        </w:rPr>
        <w:t>环境与卫生管理过程出现违规而造成经营生产损失时，</w:t>
      </w:r>
      <w:r>
        <w:t>按《</w:t>
      </w:r>
      <w:r>
        <w:rPr>
          <w:rFonts w:hint="eastAsia"/>
        </w:rPr>
        <w:t>安全质量文明施工违约处罚实施细则</w:t>
      </w:r>
      <w:r>
        <w:t>》</w:t>
      </w:r>
      <w:r>
        <w:rPr>
          <w:rFonts w:hint="eastAsia"/>
        </w:rPr>
        <w:t>有关规定</w:t>
      </w:r>
      <w:r>
        <w:t>进行</w:t>
      </w:r>
      <w:r>
        <w:rPr>
          <w:rFonts w:hint="eastAsia"/>
        </w:rPr>
        <w:t>责任追究和</w:t>
      </w:r>
      <w:r>
        <w:t>处罚</w:t>
      </w:r>
      <w:r>
        <w:rPr>
          <w:rFonts w:hint="eastAsia"/>
        </w:rPr>
        <w:t>。</w:t>
      </w:r>
    </w:p>
    <w:p>
      <w:pPr>
        <w:widowControl w:val="0"/>
        <w:ind w:firstLine="482"/>
      </w:pPr>
      <w:r>
        <w:rPr>
          <w:rFonts w:hint="eastAsia"/>
          <w:b/>
        </w:rPr>
        <w:t xml:space="preserve">第十三条 </w:t>
      </w:r>
      <w:r>
        <w:rPr>
          <w:rFonts w:hint="eastAsia"/>
        </w:rPr>
        <w:t>工区因环境与卫生管理存在问题时，纳入工区月度</w:t>
      </w:r>
      <w:r>
        <w:t>、</w:t>
      </w:r>
      <w:r>
        <w:rPr>
          <w:rFonts w:hint="eastAsia"/>
        </w:rPr>
        <w:t>季度施工技术管理考评，同时列入总承包项目部对工区月度综合</w:t>
      </w:r>
      <w:r>
        <w:t>评比</w:t>
      </w:r>
      <w:r>
        <w:rPr>
          <w:rFonts w:hint="eastAsia"/>
        </w:rPr>
        <w:t>考核。</w:t>
      </w:r>
    </w:p>
    <w:p>
      <w:pPr>
        <w:widowControl w:val="0"/>
        <w:ind w:firstLine="480"/>
      </w:pPr>
    </w:p>
    <w:p>
      <w:pPr>
        <w:widowControl w:val="0"/>
        <w:ind w:firstLine="482"/>
      </w:pPr>
      <w:r>
        <w:rPr>
          <w:rFonts w:hint="eastAsia"/>
          <w:b/>
          <w:bCs/>
        </w:rPr>
        <w:t>附件1：</w:t>
      </w:r>
      <w:r>
        <w:rPr>
          <w:rFonts w:hint="eastAsia"/>
        </w:rPr>
        <w:t>《建设工程“五小设施”验收表》</w:t>
      </w:r>
    </w:p>
    <w:p>
      <w:pPr>
        <w:adjustRightInd w:val="0"/>
        <w:spacing w:line="500" w:lineRule="exact"/>
        <w:ind w:firstLine="240" w:firstLineChars="100"/>
        <w:jc w:val="center"/>
        <w:textAlignment w:val="baseline"/>
        <w:rPr>
          <w:rFonts w:ascii="仿宋_GB2312" w:hAnsi="仿宋_GB2312" w:cs="仿宋_GB2312"/>
          <w:szCs w:val="32"/>
        </w:rPr>
      </w:pPr>
      <w:r>
        <w:rPr>
          <w:rFonts w:ascii="仿宋_GB2312" w:hAnsi="仿宋_GB2312" w:cs="仿宋_GB2312"/>
          <w:szCs w:val="32"/>
        </w:rPr>
        <w:br w:type="page"/>
      </w: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附件1</w:t>
      </w:r>
    </w:p>
    <w:p>
      <w:pPr>
        <w:pStyle w:val="4"/>
        <w:spacing w:before="0" w:after="0" w:line="180" w:lineRule="atLeast"/>
        <w:ind w:firstLine="0" w:firstLineChars="0"/>
        <w:jc w:val="center"/>
        <w:rPr>
          <w:rFonts w:ascii="宋体" w:hAnsi="宋体" w:eastAsia="宋体"/>
          <w:b w:val="0"/>
          <w:sz w:val="24"/>
          <w:szCs w:val="24"/>
        </w:rPr>
      </w:pPr>
      <w:r>
        <w:rPr>
          <w:rFonts w:hint="eastAsia" w:ascii="宋体" w:hAnsi="宋体" w:eastAsia="宋体"/>
          <w:b w:val="0"/>
          <w:sz w:val="24"/>
          <w:szCs w:val="24"/>
        </w:rPr>
        <w:t>建设工程“五小设施”验收表</w:t>
      </w:r>
    </w:p>
    <w:tbl>
      <w:tblPr>
        <w:tblStyle w:val="22"/>
        <w:tblpPr w:leftFromText="180" w:rightFromText="180" w:vertAnchor="text" w:horzAnchor="margin" w:tblpX="-72" w:tblpY="31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377"/>
        <w:gridCol w:w="663"/>
        <w:gridCol w:w="2369"/>
        <w:gridCol w:w="58"/>
        <w:gridCol w:w="1139"/>
        <w:gridCol w:w="986"/>
        <w:gridCol w:w="730"/>
        <w:gridCol w:w="1240"/>
        <w:gridCol w:w="310"/>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32" w:hRule="exact"/>
        </w:trPr>
        <w:tc>
          <w:tcPr>
            <w:tcW w:w="1014" w:type="dxa"/>
            <w:gridSpan w:val="2"/>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工程名称</w:t>
            </w:r>
          </w:p>
        </w:tc>
        <w:tc>
          <w:tcPr>
            <w:tcW w:w="7495" w:type="dxa"/>
            <w:gridSpan w:val="8"/>
            <w:vAlign w:val="center"/>
          </w:tcPr>
          <w:p>
            <w:pPr>
              <w:spacing w:line="240" w:lineRule="auto"/>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63" w:hRule="exact"/>
        </w:trPr>
        <w:tc>
          <w:tcPr>
            <w:tcW w:w="1014" w:type="dxa"/>
            <w:gridSpan w:val="2"/>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建设单位</w:t>
            </w:r>
          </w:p>
        </w:tc>
        <w:tc>
          <w:tcPr>
            <w:tcW w:w="3090" w:type="dxa"/>
            <w:gridSpan w:val="3"/>
            <w:vAlign w:val="center"/>
          </w:tcPr>
          <w:p>
            <w:pPr>
              <w:spacing w:line="240" w:lineRule="auto"/>
              <w:ind w:firstLine="0" w:firstLineChars="0"/>
              <w:jc w:val="center"/>
              <w:rPr>
                <w:rFonts w:ascii="宋体" w:hAnsi="宋体" w:eastAsia="宋体"/>
                <w:sz w:val="18"/>
                <w:szCs w:val="18"/>
              </w:rPr>
            </w:pPr>
          </w:p>
        </w:tc>
        <w:tc>
          <w:tcPr>
            <w:tcW w:w="1139" w:type="dxa"/>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项目负责人</w:t>
            </w:r>
          </w:p>
        </w:tc>
        <w:tc>
          <w:tcPr>
            <w:tcW w:w="3266" w:type="dxa"/>
            <w:gridSpan w:val="4"/>
            <w:vAlign w:val="center"/>
          </w:tcPr>
          <w:p>
            <w:pPr>
              <w:spacing w:line="240" w:lineRule="auto"/>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87" w:hRule="exact"/>
        </w:trPr>
        <w:tc>
          <w:tcPr>
            <w:tcW w:w="1014" w:type="dxa"/>
            <w:gridSpan w:val="2"/>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监理单位</w:t>
            </w:r>
          </w:p>
        </w:tc>
        <w:tc>
          <w:tcPr>
            <w:tcW w:w="3090" w:type="dxa"/>
            <w:gridSpan w:val="3"/>
            <w:vAlign w:val="center"/>
          </w:tcPr>
          <w:p>
            <w:pPr>
              <w:spacing w:line="240" w:lineRule="auto"/>
              <w:ind w:firstLine="0" w:firstLineChars="0"/>
              <w:jc w:val="center"/>
              <w:rPr>
                <w:rFonts w:ascii="宋体" w:hAnsi="宋体" w:eastAsia="宋体"/>
                <w:sz w:val="18"/>
                <w:szCs w:val="18"/>
              </w:rPr>
            </w:pPr>
          </w:p>
        </w:tc>
        <w:tc>
          <w:tcPr>
            <w:tcW w:w="1139" w:type="dxa"/>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项目总监</w:t>
            </w:r>
          </w:p>
        </w:tc>
        <w:tc>
          <w:tcPr>
            <w:tcW w:w="3266" w:type="dxa"/>
            <w:gridSpan w:val="4"/>
            <w:vAlign w:val="center"/>
          </w:tcPr>
          <w:p>
            <w:pPr>
              <w:spacing w:line="240" w:lineRule="auto"/>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23" w:hRule="exact"/>
        </w:trPr>
        <w:tc>
          <w:tcPr>
            <w:tcW w:w="1014" w:type="dxa"/>
            <w:gridSpan w:val="2"/>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施工单位</w:t>
            </w:r>
          </w:p>
        </w:tc>
        <w:tc>
          <w:tcPr>
            <w:tcW w:w="3090" w:type="dxa"/>
            <w:gridSpan w:val="3"/>
            <w:vAlign w:val="center"/>
          </w:tcPr>
          <w:p>
            <w:pPr>
              <w:spacing w:line="240" w:lineRule="auto"/>
              <w:ind w:firstLine="0" w:firstLineChars="0"/>
              <w:jc w:val="center"/>
              <w:rPr>
                <w:rFonts w:ascii="宋体" w:hAnsi="宋体" w:eastAsia="宋体"/>
                <w:sz w:val="18"/>
                <w:szCs w:val="18"/>
              </w:rPr>
            </w:pPr>
          </w:p>
        </w:tc>
        <w:tc>
          <w:tcPr>
            <w:tcW w:w="1139" w:type="dxa"/>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项目经理</w:t>
            </w:r>
          </w:p>
        </w:tc>
        <w:tc>
          <w:tcPr>
            <w:tcW w:w="3266" w:type="dxa"/>
            <w:gridSpan w:val="4"/>
            <w:vAlign w:val="center"/>
          </w:tcPr>
          <w:p>
            <w:pPr>
              <w:spacing w:line="240" w:lineRule="auto"/>
              <w:ind w:firstLine="0" w:firstLineChars="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6" w:hRule="atLeast"/>
        </w:trPr>
        <w:tc>
          <w:tcPr>
            <w:tcW w:w="637" w:type="dxa"/>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序号</w:t>
            </w:r>
          </w:p>
        </w:tc>
        <w:tc>
          <w:tcPr>
            <w:tcW w:w="1040" w:type="dxa"/>
            <w:gridSpan w:val="2"/>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验收项目</w:t>
            </w:r>
          </w:p>
        </w:tc>
        <w:tc>
          <w:tcPr>
            <w:tcW w:w="5282" w:type="dxa"/>
            <w:gridSpan w:val="5"/>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验</w:t>
            </w:r>
            <w:r>
              <w:rPr>
                <w:rFonts w:ascii="宋体" w:hAnsi="宋体" w:eastAsia="宋体"/>
                <w:sz w:val="18"/>
                <w:szCs w:val="18"/>
              </w:rPr>
              <w:t xml:space="preserve"> </w:t>
            </w:r>
            <w:r>
              <w:rPr>
                <w:rFonts w:hint="eastAsia" w:ascii="宋体" w:hAnsi="宋体" w:eastAsia="宋体"/>
                <w:sz w:val="18"/>
                <w:szCs w:val="18"/>
              </w:rPr>
              <w:t>收</w:t>
            </w:r>
            <w:r>
              <w:rPr>
                <w:rFonts w:ascii="宋体" w:hAnsi="宋体" w:eastAsia="宋体"/>
                <w:sz w:val="18"/>
                <w:szCs w:val="18"/>
              </w:rPr>
              <w:t xml:space="preserve"> </w:t>
            </w:r>
            <w:r>
              <w:rPr>
                <w:rFonts w:hint="eastAsia" w:ascii="宋体" w:hAnsi="宋体" w:eastAsia="宋体"/>
                <w:sz w:val="18"/>
                <w:szCs w:val="18"/>
              </w:rPr>
              <w:t>内</w:t>
            </w:r>
            <w:r>
              <w:rPr>
                <w:rFonts w:ascii="宋体" w:hAnsi="宋体" w:eastAsia="宋体"/>
                <w:sz w:val="18"/>
                <w:szCs w:val="18"/>
              </w:rPr>
              <w:t xml:space="preserve"> </w:t>
            </w:r>
            <w:r>
              <w:rPr>
                <w:rFonts w:hint="eastAsia" w:ascii="宋体" w:hAnsi="宋体" w:eastAsia="宋体"/>
                <w:sz w:val="18"/>
                <w:szCs w:val="18"/>
              </w:rPr>
              <w:t>容</w:t>
            </w:r>
          </w:p>
        </w:tc>
        <w:tc>
          <w:tcPr>
            <w:tcW w:w="1550" w:type="dxa"/>
            <w:gridSpan w:val="2"/>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35" w:hRule="atLeast"/>
        </w:trPr>
        <w:tc>
          <w:tcPr>
            <w:tcW w:w="637" w:type="dxa"/>
            <w:vMerge w:val="restart"/>
            <w:vAlign w:val="center"/>
          </w:tcPr>
          <w:p>
            <w:pPr>
              <w:spacing w:line="240" w:lineRule="auto"/>
              <w:ind w:firstLine="0" w:firstLineChars="0"/>
              <w:jc w:val="center"/>
              <w:rPr>
                <w:rFonts w:ascii="宋体" w:hAnsi="宋体" w:eastAsia="宋体"/>
                <w:sz w:val="18"/>
                <w:szCs w:val="18"/>
              </w:rPr>
            </w:pPr>
            <w:r>
              <w:rPr>
                <w:rFonts w:ascii="宋体" w:hAnsi="宋体" w:eastAsia="宋体"/>
                <w:sz w:val="18"/>
                <w:szCs w:val="18"/>
              </w:rPr>
              <w:t>1</w:t>
            </w:r>
          </w:p>
        </w:tc>
        <w:tc>
          <w:tcPr>
            <w:tcW w:w="1040" w:type="dxa"/>
            <w:gridSpan w:val="2"/>
            <w:vMerge w:val="restart"/>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制度</w:t>
            </w: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办公、生活区域是否建立卫生责任管理制度</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6"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施工现场是否设置醒目的环境卫生宣传牌</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6" w:hRule="atLeast"/>
        </w:trPr>
        <w:tc>
          <w:tcPr>
            <w:tcW w:w="637" w:type="dxa"/>
            <w:vMerge w:val="restart"/>
            <w:vAlign w:val="center"/>
          </w:tcPr>
          <w:p>
            <w:pPr>
              <w:spacing w:line="240" w:lineRule="auto"/>
              <w:ind w:firstLine="0" w:firstLineChars="0"/>
              <w:jc w:val="center"/>
              <w:rPr>
                <w:rFonts w:ascii="宋体" w:hAnsi="宋体" w:eastAsia="宋体"/>
                <w:sz w:val="18"/>
                <w:szCs w:val="18"/>
              </w:rPr>
            </w:pPr>
            <w:r>
              <w:rPr>
                <w:rFonts w:ascii="宋体" w:hAnsi="宋体" w:eastAsia="宋体"/>
                <w:sz w:val="18"/>
                <w:szCs w:val="18"/>
              </w:rPr>
              <w:t>2</w:t>
            </w:r>
          </w:p>
        </w:tc>
        <w:tc>
          <w:tcPr>
            <w:tcW w:w="1040" w:type="dxa"/>
            <w:gridSpan w:val="2"/>
            <w:vMerge w:val="restart"/>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食堂</w:t>
            </w: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食堂是否已办理餐饮许可证，炊事员是否已办理健康证</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6"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炊餐食具是否设置清洗、消毒等水池。</w:t>
            </w:r>
            <w:r>
              <w:rPr>
                <w:rFonts w:ascii="宋体" w:hAnsi="宋体" w:eastAsia="宋体"/>
                <w:sz w:val="18"/>
                <w:szCs w:val="18"/>
              </w:rPr>
              <w:t> </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6"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食堂内各地面是否平整、不积水、无裂缝；污水排泄是否通畅，</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6"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食堂加工场所是否设置原料处理、半成品加工、成</w:t>
            </w:r>
            <w:r>
              <w:rPr>
                <w:rFonts w:ascii="宋体" w:hAnsi="宋体" w:eastAsia="宋体"/>
                <w:sz w:val="18"/>
                <w:szCs w:val="18"/>
              </w:rPr>
              <w:t> </w:t>
            </w:r>
            <w:r>
              <w:rPr>
                <w:rFonts w:hint="eastAsia" w:ascii="宋体" w:hAnsi="宋体" w:eastAsia="宋体"/>
                <w:sz w:val="18"/>
                <w:szCs w:val="18"/>
              </w:rPr>
              <w:t>品供应场所</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6"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是否有防蝇、防尘、防鼠及防止其他病媒昆虫的设</w:t>
            </w:r>
            <w:r>
              <w:rPr>
                <w:rFonts w:ascii="宋体" w:hAnsi="宋体" w:eastAsia="宋体"/>
                <w:sz w:val="18"/>
                <w:szCs w:val="18"/>
              </w:rPr>
              <w:t> </w:t>
            </w:r>
            <w:r>
              <w:rPr>
                <w:rFonts w:hint="eastAsia" w:ascii="宋体" w:hAnsi="宋体" w:eastAsia="宋体"/>
                <w:sz w:val="18"/>
                <w:szCs w:val="18"/>
              </w:rPr>
              <w:t>施</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46"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厨房内是否设置各种食品柜，防蝇罩，垃圾桶，剩菜缸等物品</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34" w:hRule="exact"/>
        </w:trPr>
        <w:tc>
          <w:tcPr>
            <w:tcW w:w="637" w:type="dxa"/>
            <w:vMerge w:val="restart"/>
            <w:vAlign w:val="center"/>
          </w:tcPr>
          <w:p>
            <w:pPr>
              <w:spacing w:line="240" w:lineRule="auto"/>
              <w:ind w:firstLine="0" w:firstLineChars="0"/>
              <w:jc w:val="center"/>
              <w:rPr>
                <w:rFonts w:ascii="宋体" w:hAnsi="宋体" w:eastAsia="宋体"/>
                <w:sz w:val="18"/>
                <w:szCs w:val="18"/>
              </w:rPr>
            </w:pPr>
            <w:r>
              <w:rPr>
                <w:rFonts w:ascii="宋体" w:hAnsi="宋体" w:eastAsia="宋体"/>
                <w:sz w:val="18"/>
                <w:szCs w:val="18"/>
              </w:rPr>
              <w:t>3</w:t>
            </w:r>
          </w:p>
        </w:tc>
        <w:tc>
          <w:tcPr>
            <w:tcW w:w="1040" w:type="dxa"/>
            <w:gridSpan w:val="2"/>
            <w:vMerge w:val="restart"/>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卫生间</w:t>
            </w: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男、女卫生间是否分开设置</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51"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是否设置化粪池</w:t>
            </w:r>
          </w:p>
          <w:p>
            <w:pPr>
              <w:spacing w:line="240" w:lineRule="auto"/>
              <w:ind w:firstLine="0" w:firstLineChars="0"/>
              <w:rPr>
                <w:rFonts w:ascii="宋体" w:hAnsi="宋体" w:eastAsia="宋体"/>
                <w:sz w:val="18"/>
                <w:szCs w:val="18"/>
              </w:rPr>
            </w:pP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97"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是否设置自动冲洗水箱</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18"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是否设置专（兼）职人员负责打扫卫生，清理消毒</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18"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大便槽、小便池是否铺设瓷砖</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18"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地面是否硬化，门窗是否齐全，通风是否良好，是否配备洗手盆</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18" w:hRule="atLeast"/>
        </w:trPr>
        <w:tc>
          <w:tcPr>
            <w:tcW w:w="637" w:type="dxa"/>
            <w:vMerge w:val="restart"/>
            <w:vAlign w:val="center"/>
          </w:tcPr>
          <w:p>
            <w:pPr>
              <w:spacing w:line="240" w:lineRule="auto"/>
              <w:ind w:firstLine="0" w:firstLineChars="0"/>
              <w:jc w:val="center"/>
              <w:rPr>
                <w:rFonts w:ascii="宋体" w:hAnsi="宋体" w:eastAsia="宋体"/>
                <w:sz w:val="18"/>
                <w:szCs w:val="18"/>
              </w:rPr>
            </w:pPr>
            <w:r>
              <w:rPr>
                <w:rFonts w:ascii="宋体" w:hAnsi="宋体" w:eastAsia="宋体"/>
                <w:sz w:val="18"/>
                <w:szCs w:val="18"/>
              </w:rPr>
              <w:t>4</w:t>
            </w:r>
          </w:p>
        </w:tc>
        <w:tc>
          <w:tcPr>
            <w:tcW w:w="1040" w:type="dxa"/>
            <w:gridSpan w:val="2"/>
            <w:vMerge w:val="restart"/>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淋浴室</w:t>
            </w: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男、女淋浴间是否分开设置</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288"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淋浴喷头是否满足工地职工需求</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99"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淋浴室内排水设施是否满足要求</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99" w:hRule="exact"/>
        </w:trPr>
        <w:tc>
          <w:tcPr>
            <w:tcW w:w="637" w:type="dxa"/>
            <w:vMerge w:val="restart"/>
            <w:vAlign w:val="center"/>
          </w:tcPr>
          <w:p>
            <w:pPr>
              <w:spacing w:line="240" w:lineRule="auto"/>
              <w:ind w:firstLine="0" w:firstLineChars="0"/>
              <w:jc w:val="center"/>
              <w:rPr>
                <w:rFonts w:ascii="宋体" w:hAnsi="宋体" w:eastAsia="宋体"/>
                <w:sz w:val="18"/>
                <w:szCs w:val="18"/>
              </w:rPr>
            </w:pPr>
            <w:r>
              <w:rPr>
                <w:rFonts w:ascii="宋体" w:hAnsi="宋体" w:eastAsia="宋体"/>
                <w:sz w:val="18"/>
                <w:szCs w:val="18"/>
              </w:rPr>
              <w:t>5</w:t>
            </w:r>
          </w:p>
        </w:tc>
        <w:tc>
          <w:tcPr>
            <w:tcW w:w="1040" w:type="dxa"/>
            <w:gridSpan w:val="2"/>
            <w:vMerge w:val="restart"/>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宿舍</w:t>
            </w: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临时用房选址、搭设是否满足规范要求</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24"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宿舍是否设置独立的漏电、短路保护器和足够数量的安全插座，电线是否采用套管。</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45"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宿舍内是否配置贮物柜、脸盆架、清扫工具、电灯、空调等必要的生活设施</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99"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宿舍生活区内是否设置为作业人员晾晒衣物的场地和设施</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99"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宿舍区是否设置开水炉、电热水器或饮用水保温桶</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51" w:hRule="exact"/>
        </w:trPr>
        <w:tc>
          <w:tcPr>
            <w:tcW w:w="637" w:type="dxa"/>
            <w:vMerge w:val="continue"/>
            <w:vAlign w:val="center"/>
          </w:tcPr>
          <w:p>
            <w:pPr>
              <w:spacing w:line="240" w:lineRule="auto"/>
              <w:ind w:firstLine="0" w:firstLineChars="0"/>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宿舍区是否设置水冲式厕所和洗浴间</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99"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宿舍区是否设置排水暗沟</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07"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宿舍区是否设置密闭式垃圾桶（或容器）</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28" w:hRule="exac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宿舍内是否配备足够的消防器材</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46" w:hRule="atLeast"/>
        </w:trPr>
        <w:tc>
          <w:tcPr>
            <w:tcW w:w="637" w:type="dxa"/>
            <w:vMerge w:val="restart"/>
            <w:vAlign w:val="center"/>
          </w:tcPr>
          <w:p>
            <w:pPr>
              <w:spacing w:line="240" w:lineRule="auto"/>
              <w:ind w:firstLine="0" w:firstLineChars="0"/>
              <w:jc w:val="center"/>
              <w:rPr>
                <w:rFonts w:ascii="宋体" w:hAnsi="宋体" w:eastAsia="宋体"/>
                <w:sz w:val="18"/>
                <w:szCs w:val="18"/>
              </w:rPr>
            </w:pPr>
            <w:r>
              <w:rPr>
                <w:rFonts w:ascii="宋体" w:hAnsi="宋体" w:eastAsia="宋体"/>
                <w:sz w:val="18"/>
                <w:szCs w:val="18"/>
              </w:rPr>
              <w:t>6</w:t>
            </w:r>
          </w:p>
        </w:tc>
        <w:tc>
          <w:tcPr>
            <w:tcW w:w="1040" w:type="dxa"/>
            <w:gridSpan w:val="2"/>
            <w:vMerge w:val="restart"/>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办公区</w:t>
            </w: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临时用房选址、搭设是否满足规范要求</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34"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项目部内是否设置“五牌二图”</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02"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项目部内是否设置旗台、旗杆、宣传窗</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50"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项目部进出道路以及停车场、职工宿舍进出道路及生活区是否进行硬化</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12"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restart"/>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办公室</w:t>
            </w: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项目部内是否设置绿花坛，种植灌木及其他绿色植物，四周走道是否设置盆栽植物。</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50"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vAlign w:val="center"/>
          </w:tcPr>
          <w:p>
            <w:pPr>
              <w:spacing w:line="240" w:lineRule="auto"/>
              <w:ind w:firstLine="0" w:firstLineChars="0"/>
              <w:rPr>
                <w:rFonts w:ascii="宋体" w:hAnsi="宋体" w:eastAsia="宋体"/>
                <w:sz w:val="18"/>
                <w:szCs w:val="18"/>
              </w:rPr>
            </w:pPr>
          </w:p>
        </w:tc>
        <w:tc>
          <w:tcPr>
            <w:tcW w:w="5282" w:type="dxa"/>
            <w:gridSpan w:val="5"/>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办公区是否与宿舍、施工现场分开</w:t>
            </w:r>
          </w:p>
        </w:tc>
        <w:tc>
          <w:tcPr>
            <w:tcW w:w="1550" w:type="dxa"/>
            <w:gridSpan w:val="2"/>
            <w:vAlign w:val="center"/>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80"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restart"/>
            <w:tcBorders>
              <w:right w:val="nil"/>
            </w:tcBorders>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门卫室</w:t>
            </w:r>
          </w:p>
        </w:tc>
        <w:tc>
          <w:tcPr>
            <w:tcW w:w="4552" w:type="dxa"/>
            <w:gridSpan w:val="4"/>
            <w:tcBorders>
              <w:right w:val="nil"/>
            </w:tcBorders>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rPr>
              <w:t>施工现场各出入口是否设置门卫室</w:t>
            </w:r>
          </w:p>
        </w:tc>
        <w:tc>
          <w:tcPr>
            <w:tcW w:w="730" w:type="dxa"/>
            <w:tcBorders>
              <w:left w:val="nil"/>
              <w:bottom w:val="nil"/>
            </w:tcBorders>
          </w:tcPr>
          <w:p>
            <w:pPr>
              <w:spacing w:line="240" w:lineRule="auto"/>
              <w:ind w:firstLine="0" w:firstLineChars="0"/>
              <w:rPr>
                <w:rFonts w:ascii="宋体" w:hAnsi="宋体" w:eastAsia="宋体"/>
                <w:sz w:val="18"/>
                <w:szCs w:val="18"/>
              </w:rPr>
            </w:pPr>
          </w:p>
        </w:tc>
        <w:tc>
          <w:tcPr>
            <w:tcW w:w="1550" w:type="dxa"/>
            <w:gridSpan w:val="2"/>
            <w:tcBorders>
              <w:left w:val="nil"/>
              <w:bottom w:val="nil"/>
            </w:tcBorders>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80"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tcBorders>
              <w:right w:val="nil"/>
            </w:tcBorders>
            <w:vAlign w:val="center"/>
          </w:tcPr>
          <w:p>
            <w:pPr>
              <w:spacing w:line="240" w:lineRule="auto"/>
              <w:ind w:firstLine="0" w:firstLineChars="0"/>
              <w:jc w:val="center"/>
              <w:rPr>
                <w:rFonts w:ascii="宋体" w:hAnsi="宋体" w:eastAsia="宋体"/>
                <w:sz w:val="18"/>
                <w:szCs w:val="18"/>
              </w:rPr>
            </w:pPr>
          </w:p>
        </w:tc>
        <w:tc>
          <w:tcPr>
            <w:tcW w:w="4552" w:type="dxa"/>
            <w:gridSpan w:val="4"/>
            <w:tcBorders>
              <w:right w:val="nil"/>
            </w:tcBorders>
            <w:vAlign w:val="center"/>
          </w:tcPr>
          <w:p>
            <w:pPr>
              <w:spacing w:line="240" w:lineRule="auto"/>
              <w:ind w:firstLine="0" w:firstLineChars="0"/>
              <w:rPr>
                <w:rFonts w:ascii="宋体" w:hAnsi="宋体" w:eastAsia="宋体"/>
                <w:sz w:val="18"/>
                <w:szCs w:val="18"/>
              </w:rPr>
            </w:pPr>
            <w:r>
              <w:rPr>
                <w:rFonts w:hint="eastAsia" w:ascii="宋体" w:hAnsi="宋体" w:eastAsia="宋体"/>
                <w:sz w:val="18"/>
                <w:szCs w:val="18"/>
                <w:shd w:val="clear" w:color="auto" w:fill="FFFFFF"/>
              </w:rPr>
              <w:t>门卫室是否美观规范、轻便灵活、占地少、便于移动</w:t>
            </w:r>
          </w:p>
        </w:tc>
        <w:tc>
          <w:tcPr>
            <w:tcW w:w="730" w:type="dxa"/>
            <w:tcBorders>
              <w:left w:val="nil"/>
              <w:bottom w:val="nil"/>
            </w:tcBorders>
          </w:tcPr>
          <w:p>
            <w:pPr>
              <w:spacing w:line="240" w:lineRule="auto"/>
              <w:ind w:firstLine="0" w:firstLineChars="0"/>
              <w:rPr>
                <w:rFonts w:ascii="宋体" w:hAnsi="宋体" w:eastAsia="宋体"/>
                <w:sz w:val="18"/>
                <w:szCs w:val="18"/>
              </w:rPr>
            </w:pPr>
          </w:p>
        </w:tc>
        <w:tc>
          <w:tcPr>
            <w:tcW w:w="1550" w:type="dxa"/>
            <w:gridSpan w:val="2"/>
            <w:tcBorders>
              <w:left w:val="nil"/>
              <w:bottom w:val="nil"/>
            </w:tcBorders>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80"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tcBorders>
              <w:right w:val="nil"/>
            </w:tcBorders>
            <w:vAlign w:val="center"/>
          </w:tcPr>
          <w:p>
            <w:pPr>
              <w:spacing w:line="240" w:lineRule="auto"/>
              <w:ind w:firstLine="0" w:firstLineChars="0"/>
              <w:jc w:val="center"/>
              <w:rPr>
                <w:rFonts w:ascii="宋体" w:hAnsi="宋体" w:eastAsia="宋体"/>
                <w:sz w:val="18"/>
                <w:szCs w:val="18"/>
              </w:rPr>
            </w:pPr>
          </w:p>
        </w:tc>
        <w:tc>
          <w:tcPr>
            <w:tcW w:w="4552" w:type="dxa"/>
            <w:gridSpan w:val="4"/>
            <w:tcBorders>
              <w:right w:val="nil"/>
            </w:tcBorders>
            <w:vAlign w:val="center"/>
          </w:tcPr>
          <w:p>
            <w:pPr>
              <w:spacing w:line="240" w:lineRule="auto"/>
              <w:ind w:firstLine="0" w:firstLineChars="0"/>
              <w:rPr>
                <w:rFonts w:ascii="宋体" w:hAnsi="宋体" w:eastAsia="宋体"/>
                <w:sz w:val="18"/>
                <w:szCs w:val="18"/>
                <w:shd w:val="clear" w:color="auto" w:fill="FFFFFF"/>
              </w:rPr>
            </w:pPr>
            <w:r>
              <w:rPr>
                <w:rFonts w:hint="eastAsia" w:ascii="宋体" w:hAnsi="宋体" w:eastAsia="宋体"/>
                <w:sz w:val="18"/>
                <w:szCs w:val="18"/>
                <w:shd w:val="clear" w:color="auto" w:fill="FFFFFF"/>
              </w:rPr>
              <w:t>门卫室是否安排人员值班</w:t>
            </w:r>
          </w:p>
        </w:tc>
        <w:tc>
          <w:tcPr>
            <w:tcW w:w="730" w:type="dxa"/>
            <w:tcBorders>
              <w:left w:val="nil"/>
              <w:bottom w:val="nil"/>
            </w:tcBorders>
          </w:tcPr>
          <w:p>
            <w:pPr>
              <w:spacing w:line="240" w:lineRule="auto"/>
              <w:ind w:firstLine="0" w:firstLineChars="0"/>
              <w:rPr>
                <w:rFonts w:ascii="宋体" w:hAnsi="宋体" w:eastAsia="宋体"/>
                <w:sz w:val="18"/>
                <w:szCs w:val="18"/>
              </w:rPr>
            </w:pPr>
          </w:p>
        </w:tc>
        <w:tc>
          <w:tcPr>
            <w:tcW w:w="1550" w:type="dxa"/>
            <w:gridSpan w:val="2"/>
            <w:tcBorders>
              <w:left w:val="nil"/>
              <w:bottom w:val="nil"/>
            </w:tcBorders>
          </w:tcPr>
          <w:p>
            <w:pPr>
              <w:spacing w:line="240" w:lineRule="auto"/>
              <w:ind w:firstLine="0" w:firstLineChars="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480" w:hRule="atLeast"/>
        </w:trPr>
        <w:tc>
          <w:tcPr>
            <w:tcW w:w="637" w:type="dxa"/>
            <w:vMerge w:val="continue"/>
            <w:vAlign w:val="center"/>
          </w:tcPr>
          <w:p>
            <w:pPr>
              <w:spacing w:line="240" w:lineRule="auto"/>
              <w:ind w:firstLine="0" w:firstLineChars="0"/>
              <w:jc w:val="center"/>
              <w:rPr>
                <w:rFonts w:ascii="宋体" w:hAnsi="宋体" w:eastAsia="宋体"/>
                <w:sz w:val="18"/>
                <w:szCs w:val="18"/>
              </w:rPr>
            </w:pPr>
          </w:p>
        </w:tc>
        <w:tc>
          <w:tcPr>
            <w:tcW w:w="1040" w:type="dxa"/>
            <w:gridSpan w:val="2"/>
            <w:vMerge w:val="continue"/>
            <w:tcBorders>
              <w:right w:val="nil"/>
            </w:tcBorders>
            <w:vAlign w:val="center"/>
          </w:tcPr>
          <w:p>
            <w:pPr>
              <w:spacing w:line="240" w:lineRule="auto"/>
              <w:ind w:firstLine="0" w:firstLineChars="0"/>
              <w:jc w:val="center"/>
              <w:rPr>
                <w:rFonts w:ascii="宋体" w:hAnsi="宋体" w:eastAsia="宋体"/>
                <w:sz w:val="18"/>
                <w:szCs w:val="18"/>
              </w:rPr>
            </w:pPr>
          </w:p>
        </w:tc>
        <w:tc>
          <w:tcPr>
            <w:tcW w:w="4552" w:type="dxa"/>
            <w:gridSpan w:val="4"/>
            <w:tcBorders>
              <w:right w:val="nil"/>
            </w:tcBorders>
            <w:vAlign w:val="center"/>
          </w:tcPr>
          <w:p>
            <w:pPr>
              <w:spacing w:line="240" w:lineRule="auto"/>
              <w:ind w:firstLine="0" w:firstLineChars="0"/>
              <w:rPr>
                <w:rFonts w:ascii="宋体" w:hAnsi="宋体" w:eastAsia="宋体"/>
                <w:sz w:val="18"/>
                <w:szCs w:val="18"/>
                <w:shd w:val="clear" w:color="auto" w:fill="FFFFFF"/>
              </w:rPr>
            </w:pPr>
            <w:r>
              <w:rPr>
                <w:rFonts w:hint="eastAsia" w:ascii="宋体" w:hAnsi="宋体" w:eastAsia="宋体"/>
                <w:sz w:val="18"/>
                <w:szCs w:val="18"/>
                <w:shd w:val="clear" w:color="auto" w:fill="FFFFFF"/>
              </w:rPr>
              <w:t>是否制定门卫管理制度</w:t>
            </w:r>
          </w:p>
        </w:tc>
        <w:tc>
          <w:tcPr>
            <w:tcW w:w="730" w:type="dxa"/>
            <w:tcBorders>
              <w:left w:val="nil"/>
              <w:bottom w:val="nil"/>
            </w:tcBorders>
          </w:tcPr>
          <w:p>
            <w:pPr>
              <w:spacing w:line="240" w:lineRule="auto"/>
              <w:ind w:firstLine="0" w:firstLineChars="0"/>
              <w:rPr>
                <w:rFonts w:ascii="宋体" w:hAnsi="宋体" w:eastAsia="宋体"/>
                <w:sz w:val="18"/>
                <w:szCs w:val="18"/>
              </w:rPr>
            </w:pPr>
          </w:p>
        </w:tc>
        <w:tc>
          <w:tcPr>
            <w:tcW w:w="1550" w:type="dxa"/>
            <w:gridSpan w:val="2"/>
            <w:tcBorders>
              <w:left w:val="nil"/>
              <w:bottom w:val="nil"/>
            </w:tcBorders>
          </w:tcPr>
          <w:p>
            <w:pPr>
              <w:spacing w:line="240" w:lineRule="auto"/>
              <w:ind w:firstLine="0" w:firstLineChars="0"/>
              <w:rPr>
                <w:rFonts w:ascii="宋体" w:hAnsi="宋体" w:eastAsia="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5" w:hRule="atLeast"/>
        </w:trPr>
        <w:tc>
          <w:tcPr>
            <w:tcW w:w="1677" w:type="dxa"/>
            <w:gridSpan w:val="3"/>
            <w:tcBorders>
              <w:top w:val="single" w:color="auto" w:sz="4" w:space="0"/>
              <w:left w:val="single" w:color="auto" w:sz="4" w:space="0"/>
              <w:bottom w:val="single" w:color="auto" w:sz="4" w:space="0"/>
            </w:tcBorders>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施工单位验收意见</w:t>
            </w:r>
          </w:p>
        </w:tc>
        <w:tc>
          <w:tcPr>
            <w:tcW w:w="2369" w:type="dxa"/>
            <w:tcBorders>
              <w:top w:val="single" w:color="auto" w:sz="4" w:space="0"/>
              <w:left w:val="single" w:color="auto" w:sz="4" w:space="0"/>
              <w:bottom w:val="single" w:color="auto" w:sz="4" w:space="0"/>
            </w:tcBorders>
          </w:tcPr>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r>
              <w:rPr>
                <w:rFonts w:hint="eastAsia" w:ascii="宋体" w:hAnsi="宋体" w:eastAsia="宋体"/>
                <w:sz w:val="18"/>
                <w:szCs w:val="18"/>
              </w:rPr>
              <w:t>项目经理（签名）：</w:t>
            </w:r>
          </w:p>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r>
              <w:rPr>
                <w:rFonts w:hint="eastAsia" w:ascii="宋体" w:hAnsi="宋体" w:eastAsia="宋体"/>
                <w:sz w:val="18"/>
                <w:szCs w:val="18"/>
              </w:rPr>
              <w:t>（公章）</w:t>
            </w:r>
          </w:p>
          <w:p>
            <w:pPr>
              <w:spacing w:line="240" w:lineRule="auto"/>
              <w:ind w:firstLine="0" w:firstLineChars="0"/>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c>
          <w:tcPr>
            <w:tcW w:w="2183" w:type="dxa"/>
            <w:gridSpan w:val="3"/>
            <w:tcBorders>
              <w:top w:val="single" w:color="auto" w:sz="4" w:space="0"/>
              <w:left w:val="single" w:color="auto" w:sz="4" w:space="0"/>
              <w:bottom w:val="single" w:color="auto" w:sz="4" w:space="0"/>
            </w:tcBorders>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监理单位验收意见</w:t>
            </w:r>
          </w:p>
        </w:tc>
        <w:tc>
          <w:tcPr>
            <w:tcW w:w="1970" w:type="dxa"/>
            <w:gridSpan w:val="2"/>
            <w:tcBorders>
              <w:top w:val="single" w:color="auto" w:sz="4" w:space="0"/>
              <w:left w:val="single" w:color="auto" w:sz="4" w:space="0"/>
              <w:bottom w:val="single" w:color="auto" w:sz="4" w:space="0"/>
            </w:tcBorders>
          </w:tcPr>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r>
              <w:rPr>
                <w:rFonts w:hint="eastAsia" w:ascii="宋体" w:hAnsi="宋体" w:eastAsia="宋体"/>
                <w:sz w:val="18"/>
                <w:szCs w:val="18"/>
              </w:rPr>
              <w:t>项目总监（签名）：</w:t>
            </w:r>
          </w:p>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r>
              <w:rPr>
                <w:rFonts w:hint="eastAsia" w:ascii="宋体" w:hAnsi="宋体" w:eastAsia="宋体"/>
                <w:sz w:val="18"/>
                <w:szCs w:val="18"/>
              </w:rPr>
              <w:t>（公章）</w:t>
            </w:r>
          </w:p>
          <w:p>
            <w:pPr>
              <w:spacing w:line="240" w:lineRule="auto"/>
              <w:ind w:firstLine="0" w:firstLineChars="0"/>
              <w:rPr>
                <w:rFonts w:ascii="宋体" w:hAnsi="宋体" w:eastAsia="宋体"/>
                <w:sz w:val="18"/>
                <w:szCs w:val="18"/>
              </w:rPr>
            </w:pP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c>
          <w:tcPr>
            <w:tcW w:w="329" w:type="dxa"/>
            <w:gridSpan w:val="2"/>
            <w:tcBorders>
              <w:top w:val="single" w:color="auto" w:sz="4" w:space="0"/>
              <w:bottom w:val="single" w:color="auto" w:sz="4" w:space="0"/>
              <w:right w:val="single" w:color="auto" w:sz="4" w:space="0"/>
            </w:tcBorders>
          </w:tcPr>
          <w:p>
            <w:pPr>
              <w:spacing w:line="240" w:lineRule="auto"/>
              <w:ind w:firstLine="0" w:firstLineChars="0"/>
              <w:jc w:val="left"/>
              <w:rPr>
                <w:rFonts w:ascii="宋体" w:hAnsi="宋体" w:eastAsia="宋体"/>
                <w:sz w:val="18"/>
                <w:szCs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677" w:type="dxa"/>
            <w:gridSpan w:val="3"/>
            <w:tcBorders>
              <w:top w:val="single" w:color="auto" w:sz="4" w:space="0"/>
              <w:left w:val="single" w:color="auto" w:sz="4" w:space="0"/>
              <w:bottom w:val="single" w:color="auto" w:sz="4" w:space="0"/>
            </w:tcBorders>
            <w:vAlign w:val="center"/>
          </w:tcPr>
          <w:p>
            <w:pPr>
              <w:spacing w:line="240" w:lineRule="auto"/>
              <w:ind w:firstLine="0" w:firstLineChars="0"/>
              <w:jc w:val="center"/>
              <w:rPr>
                <w:rFonts w:ascii="宋体" w:hAnsi="宋体" w:eastAsia="宋体"/>
                <w:sz w:val="18"/>
                <w:szCs w:val="18"/>
              </w:rPr>
            </w:pPr>
            <w:r>
              <w:rPr>
                <w:rFonts w:hint="eastAsia" w:ascii="宋体" w:hAnsi="宋体" w:eastAsia="宋体"/>
                <w:sz w:val="18"/>
                <w:szCs w:val="18"/>
              </w:rPr>
              <w:t>建设单位验收意见</w:t>
            </w:r>
          </w:p>
        </w:tc>
        <w:tc>
          <w:tcPr>
            <w:tcW w:w="6522" w:type="dxa"/>
            <w:gridSpan w:val="6"/>
            <w:tcBorders>
              <w:top w:val="single" w:color="auto" w:sz="4" w:space="0"/>
              <w:left w:val="single" w:color="auto" w:sz="4" w:space="0"/>
              <w:bottom w:val="single" w:color="auto" w:sz="4" w:space="0"/>
            </w:tcBorders>
          </w:tcPr>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r>
              <w:rPr>
                <w:rFonts w:hint="eastAsia" w:ascii="宋体" w:hAnsi="宋体" w:eastAsia="宋体"/>
                <w:sz w:val="18"/>
                <w:szCs w:val="18"/>
              </w:rPr>
              <w:t>项目负责人（签名）：</w:t>
            </w:r>
          </w:p>
          <w:p>
            <w:pPr>
              <w:spacing w:line="240" w:lineRule="auto"/>
              <w:ind w:firstLine="0" w:firstLineChars="0"/>
              <w:rPr>
                <w:rFonts w:ascii="宋体" w:hAnsi="宋体" w:eastAsia="宋体"/>
                <w:sz w:val="18"/>
                <w:szCs w:val="18"/>
              </w:rPr>
            </w:pPr>
          </w:p>
          <w:p>
            <w:pPr>
              <w:spacing w:line="240" w:lineRule="auto"/>
              <w:ind w:firstLine="0" w:firstLineChars="0"/>
              <w:rPr>
                <w:rFonts w:ascii="宋体" w:hAnsi="宋体" w:eastAsia="宋体"/>
                <w:sz w:val="18"/>
                <w:szCs w:val="18"/>
              </w:rPr>
            </w:pPr>
            <w:r>
              <w:rPr>
                <w:rFonts w:hint="eastAsia" w:ascii="宋体" w:hAnsi="宋体" w:eastAsia="宋体"/>
                <w:sz w:val="18"/>
                <w:szCs w:val="18"/>
              </w:rPr>
              <w:t>（公章）</w:t>
            </w:r>
          </w:p>
          <w:p>
            <w:pPr>
              <w:spacing w:line="240" w:lineRule="auto"/>
              <w:ind w:firstLine="0" w:firstLineChars="0"/>
              <w:rPr>
                <w:rFonts w:ascii="宋体" w:hAnsi="宋体" w:eastAsia="宋体"/>
                <w:sz w:val="18"/>
                <w:szCs w:val="18"/>
              </w:rPr>
            </w:pP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c>
          <w:tcPr>
            <w:tcW w:w="329" w:type="dxa"/>
            <w:gridSpan w:val="2"/>
            <w:tcBorders>
              <w:top w:val="single" w:color="auto" w:sz="4" w:space="0"/>
              <w:bottom w:val="single" w:color="auto" w:sz="4" w:space="0"/>
              <w:right w:val="single" w:color="auto" w:sz="4" w:space="0"/>
            </w:tcBorders>
          </w:tcPr>
          <w:p>
            <w:pPr>
              <w:spacing w:line="240" w:lineRule="auto"/>
              <w:ind w:firstLine="0" w:firstLineChars="0"/>
              <w:jc w:val="left"/>
              <w:rPr>
                <w:rFonts w:ascii="宋体" w:hAnsi="宋体" w:eastAsia="宋体"/>
                <w:sz w:val="18"/>
                <w:szCs w:val="18"/>
              </w:rPr>
            </w:pPr>
          </w:p>
        </w:tc>
      </w:tr>
    </w:tbl>
    <w:p>
      <w:pPr>
        <w:adjustRightInd w:val="0"/>
        <w:spacing w:line="500" w:lineRule="exact"/>
        <w:ind w:firstLine="0" w:firstLineChars="0"/>
        <w:textAlignment w:val="baseline"/>
        <w:rPr>
          <w:rFonts w:ascii="仿宋_GB2312" w:hAnsi="仿宋_GB2312" w:cs="仿宋_GB2312"/>
          <w:szCs w:val="32"/>
        </w:rPr>
        <w:sectPr>
          <w:footerReference r:id="rId18" w:type="default"/>
          <w:footerReference r:id="rId19" w:type="even"/>
          <w:pgSz w:w="11906" w:h="16838"/>
          <w:pgMar w:top="2098" w:right="1474" w:bottom="1985" w:left="1588" w:header="851" w:footer="992" w:gutter="0"/>
          <w:cols w:space="425" w:num="1"/>
          <w:docGrid w:type="lines" w:linePitch="312" w:charSpace="0"/>
        </w:sectPr>
      </w:pPr>
    </w:p>
    <w:p>
      <w:pPr>
        <w:pStyle w:val="2"/>
        <w:rPr>
          <w:rFonts w:ascii="仿宋_GB2312" w:hAnsi="仿宋_GB2312" w:cs="仿宋_GB2312"/>
          <w:szCs w:val="32"/>
        </w:rPr>
      </w:pPr>
      <w:bookmarkStart w:id="169" w:name="_Toc3782"/>
      <w:r>
        <w:rPr>
          <w:rFonts w:hint="eastAsia" w:ascii="仿宋_GB2312" w:hAnsi="仿宋_GB2312" w:cs="仿宋_GB2312"/>
          <w:szCs w:val="32"/>
        </w:rPr>
        <w:t>二十、建筑施工特种作业人员管理制度</w:t>
      </w:r>
      <w:bookmarkEnd w:id="169"/>
    </w:p>
    <w:p>
      <w:pPr>
        <w:pStyle w:val="3"/>
        <w:widowControl w:val="0"/>
      </w:pPr>
      <w:r>
        <w:rPr>
          <w:rFonts w:hint="eastAsia"/>
        </w:rPr>
        <w:t>第一章 总则</w:t>
      </w:r>
    </w:p>
    <w:p>
      <w:pPr>
        <w:widowControl w:val="0"/>
        <w:ind w:firstLine="482"/>
      </w:pPr>
      <w:r>
        <w:rPr>
          <w:rFonts w:hint="eastAsia"/>
          <w:b/>
        </w:rPr>
        <w:t>第一条</w:t>
      </w:r>
      <w:r>
        <w:rPr>
          <w:rFonts w:hint="eastAsia"/>
        </w:rPr>
        <w:t xml:space="preserve"> 根据国务院《建设工程安全生产管理条例》、《安全生产许可证条例》；《建筑起重机械安全监督管理规定》（建设部第166号令）；《建筑施工特种作业人员管理规定》（</w:t>
      </w:r>
      <w:r>
        <w:t>建质</w:t>
      </w:r>
      <w:r>
        <w:rPr>
          <w:rFonts w:hint="eastAsia"/>
        </w:rPr>
        <w:t>[</w:t>
      </w:r>
      <w:r>
        <w:t>2008</w:t>
      </w:r>
      <w:r>
        <w:rPr>
          <w:rFonts w:hint="eastAsia"/>
        </w:rPr>
        <w:t>]</w:t>
      </w:r>
      <w:r>
        <w:t>75号</w:t>
      </w:r>
      <w:r>
        <w:rPr>
          <w:rFonts w:hint="eastAsia"/>
        </w:rPr>
        <w:t>）；《</w:t>
      </w:r>
      <w:r>
        <w:t>浙江省建筑施工特种作业人员管理办法</w:t>
      </w:r>
      <w:r>
        <w:rPr>
          <w:rFonts w:hint="eastAsia"/>
        </w:rPr>
        <w:t>（试行）》（</w:t>
      </w:r>
      <w:r>
        <w:t>浙建建</w:t>
      </w:r>
      <w:r>
        <w:rPr>
          <w:rFonts w:hint="eastAsia"/>
        </w:rPr>
        <w:t>[</w:t>
      </w:r>
      <w:r>
        <w:t>2009]25号</w:t>
      </w:r>
      <w:r>
        <w:rPr>
          <w:rFonts w:hint="eastAsia"/>
        </w:rPr>
        <w:t>）等有关法律、法规、规章，为切实加强对台州</w:t>
      </w:r>
      <w:r>
        <w:t>市域铁路</w:t>
      </w:r>
      <w:r>
        <w:rPr>
          <w:rFonts w:hint="eastAsia"/>
        </w:rPr>
        <w:t>S1线PPP项目工程总承包项目</w:t>
      </w:r>
      <w:bookmarkStart w:id="170" w:name="_Hlk526005515"/>
      <w:r>
        <w:rPr>
          <w:rFonts w:hint="eastAsia"/>
        </w:rPr>
        <w:t>部（以下简称“总承包项目部”）</w:t>
      </w:r>
      <w:bookmarkEnd w:id="170"/>
      <w:r>
        <w:rPr>
          <w:rFonts w:hint="eastAsia"/>
        </w:rPr>
        <w:t>特种作业人员管理，提高特种作业人员安全意识和基本技能，预防和减少事故发生，特制定本制度。</w:t>
      </w:r>
    </w:p>
    <w:p>
      <w:pPr>
        <w:widowControl w:val="0"/>
        <w:ind w:firstLine="482"/>
      </w:pPr>
      <w:r>
        <w:rPr>
          <w:rFonts w:hint="eastAsia"/>
          <w:b/>
        </w:rPr>
        <w:t xml:space="preserve">第二条 </w:t>
      </w:r>
      <w:r>
        <w:rPr>
          <w:rFonts w:hint="eastAsia"/>
        </w:rPr>
        <w:t>本制度适用总承包项目部所属各</w:t>
      </w:r>
      <w:r>
        <w:t>工区</w:t>
      </w:r>
      <w:r>
        <w:rPr>
          <w:rFonts w:hint="eastAsia"/>
        </w:rPr>
        <w:t>，特种作业人员的管理应符合本制度要求，当浙江省、</w:t>
      </w:r>
      <w:r>
        <w:t>台州市</w:t>
      </w:r>
      <w:r>
        <w:rPr>
          <w:rFonts w:hint="eastAsia"/>
        </w:rPr>
        <w:t>地方、行业主管部门另有规定时，应同时执行。</w:t>
      </w:r>
    </w:p>
    <w:p>
      <w:pPr>
        <w:pStyle w:val="3"/>
        <w:widowControl w:val="0"/>
      </w:pPr>
      <w:r>
        <w:rPr>
          <w:rFonts w:hint="eastAsia"/>
        </w:rPr>
        <w:t>第二章 基本规定</w:t>
      </w:r>
    </w:p>
    <w:p>
      <w:pPr>
        <w:widowControl w:val="0"/>
        <w:ind w:firstLine="482"/>
      </w:pPr>
      <w:r>
        <w:rPr>
          <w:rFonts w:hint="eastAsia"/>
          <w:b/>
        </w:rPr>
        <w:t xml:space="preserve">第三条 </w:t>
      </w:r>
      <w:r>
        <w:rPr>
          <w:rFonts w:hint="eastAsia"/>
        </w:rPr>
        <w:t>本制度所称特种作业人员包括建筑电工、建筑架子工、建筑起重信号司索工、建筑起重机械司机、建筑起重机械安装拆卸工、高处作业吊篮安装拆卸工、爆破工等。</w:t>
      </w:r>
    </w:p>
    <w:p>
      <w:pPr>
        <w:widowControl w:val="0"/>
        <w:ind w:firstLine="482"/>
      </w:pPr>
      <w:r>
        <w:rPr>
          <w:rFonts w:hint="eastAsia"/>
          <w:b/>
        </w:rPr>
        <w:t xml:space="preserve">第四条 </w:t>
      </w:r>
      <w:r>
        <w:rPr>
          <w:rFonts w:hint="eastAsia"/>
        </w:rPr>
        <w:t>特种作业人员应经建设行政主管部门考核合格，取得《建筑施工特种作业人员操作资格证书》（以下简称“资格证书”），方可上岗从事相应作业。本项目各</w:t>
      </w:r>
      <w:r>
        <w:t>专业分包</w:t>
      </w:r>
      <w:r>
        <w:rPr>
          <w:rFonts w:hint="eastAsia"/>
        </w:rPr>
        <w:t>单位特种作业人员应持有其单位所在省（区、市）各级建设行政主管部门颁发的《资格证书》。但持有浙江省外《资格证书》的特种作业人员，不得以浙江省内企业的名义在浙江省内从事特种作业。</w:t>
      </w:r>
    </w:p>
    <w:p>
      <w:pPr>
        <w:widowControl w:val="0"/>
        <w:ind w:firstLine="482"/>
      </w:pPr>
      <w:r>
        <w:rPr>
          <w:rFonts w:hint="eastAsia"/>
          <w:b/>
        </w:rPr>
        <w:t xml:space="preserve">第五条 </w:t>
      </w:r>
      <w:r>
        <w:rPr>
          <w:rFonts w:hint="eastAsia"/>
        </w:rPr>
        <w:t>各工区应建立《特种作业人员资格证书登记表》（见附件1）、《特种作业人员资料台账》（见附件2），在施工过程中实行动态管理，根据特种作业人员情况变化及时调整、更新。</w:t>
      </w:r>
    </w:p>
    <w:p>
      <w:pPr>
        <w:pStyle w:val="3"/>
        <w:widowControl w:val="0"/>
      </w:pPr>
      <w:r>
        <w:rPr>
          <w:rFonts w:hint="eastAsia"/>
        </w:rPr>
        <w:t>第三章 职责</w:t>
      </w:r>
    </w:p>
    <w:p>
      <w:pPr>
        <w:widowControl w:val="0"/>
        <w:ind w:firstLine="482"/>
      </w:pPr>
      <w:r>
        <w:rPr>
          <w:rFonts w:hint="eastAsia"/>
          <w:b/>
        </w:rPr>
        <w:t xml:space="preserve">第六条 </w:t>
      </w:r>
      <w:r>
        <w:rPr>
          <w:rFonts w:hint="eastAsia"/>
        </w:rPr>
        <w:t>总承包项目部</w:t>
      </w:r>
    </w:p>
    <w:p>
      <w:pPr>
        <w:widowControl w:val="0"/>
        <w:ind w:firstLine="480"/>
      </w:pPr>
      <w:r>
        <w:rPr>
          <w:rFonts w:hint="eastAsia"/>
        </w:rPr>
        <w:t>（一）负责本项目特种作业人员的监督管理工作。</w:t>
      </w:r>
    </w:p>
    <w:p>
      <w:pPr>
        <w:widowControl w:val="0"/>
        <w:ind w:firstLine="480"/>
      </w:pPr>
      <w:r>
        <w:rPr>
          <w:rFonts w:hint="eastAsia"/>
        </w:rPr>
        <w:t>（二）每月对特种作业人员持证上岗情况的监督检查，</w:t>
      </w:r>
      <w:r>
        <w:t>并形成检查记录</w:t>
      </w:r>
      <w:r>
        <w:rPr>
          <w:rFonts w:hint="eastAsia"/>
        </w:rPr>
        <w:t>。</w:t>
      </w:r>
    </w:p>
    <w:p>
      <w:pPr>
        <w:widowControl w:val="0"/>
        <w:ind w:firstLine="480"/>
      </w:pPr>
      <w:r>
        <w:rPr>
          <w:rFonts w:hint="eastAsia"/>
        </w:rPr>
        <w:t>（三）发现特种作业人员有下列情况的，应立即下发通知，</w:t>
      </w:r>
      <w:r>
        <w:t>限期整改</w:t>
      </w:r>
      <w:r>
        <w:rPr>
          <w:rFonts w:hint="eastAsia"/>
        </w:rPr>
        <w:t>。</w:t>
      </w:r>
    </w:p>
    <w:p>
      <w:pPr>
        <w:widowControl w:val="0"/>
        <w:ind w:firstLine="480"/>
      </w:pPr>
      <w:r>
        <w:rPr>
          <w:rFonts w:hint="eastAsia"/>
        </w:rPr>
        <w:t>a、未按要求建立《特种作业人员资格证书登记表》、《特种作业人员资料台账》的；</w:t>
      </w:r>
    </w:p>
    <w:p>
      <w:pPr>
        <w:widowControl w:val="0"/>
        <w:ind w:firstLine="480"/>
      </w:pPr>
      <w:r>
        <w:rPr>
          <w:rFonts w:hint="eastAsia"/>
        </w:rPr>
        <w:t>b、无《资格证书》和《身份证》原件，证件存在伪造、涂改、转借、转让现象的。</w:t>
      </w:r>
    </w:p>
    <w:p>
      <w:pPr>
        <w:widowControl w:val="0"/>
        <w:ind w:firstLine="480"/>
      </w:pPr>
      <w:r>
        <w:rPr>
          <w:rFonts w:hint="eastAsia"/>
        </w:rPr>
        <w:t>c、在未签订劳动合同的单位从事特种作业的；</w:t>
      </w:r>
    </w:p>
    <w:p>
      <w:pPr>
        <w:widowControl w:val="0"/>
        <w:ind w:firstLine="480"/>
      </w:pPr>
      <w:r>
        <w:rPr>
          <w:rFonts w:hint="eastAsia"/>
        </w:rPr>
        <w:t>d、不正确使用安全劳动防护用品的；</w:t>
      </w:r>
    </w:p>
    <w:p>
      <w:pPr>
        <w:widowControl w:val="0"/>
        <w:ind w:firstLine="480"/>
      </w:pPr>
      <w:r>
        <w:rPr>
          <w:rFonts w:hint="eastAsia"/>
        </w:rPr>
        <w:t>e、擅自违章作业的；</w:t>
      </w:r>
    </w:p>
    <w:p>
      <w:pPr>
        <w:widowControl w:val="0"/>
        <w:ind w:firstLine="480"/>
      </w:pPr>
      <w:r>
        <w:rPr>
          <w:rFonts w:hint="eastAsia"/>
        </w:rPr>
        <w:t xml:space="preserve">f、不服从所在工区、监理单位和各级政府监督人员管理的； </w:t>
      </w:r>
    </w:p>
    <w:p>
      <w:pPr>
        <w:widowControl w:val="0"/>
        <w:ind w:firstLine="480"/>
      </w:pPr>
      <w:r>
        <w:rPr>
          <w:rFonts w:hint="eastAsia"/>
        </w:rPr>
        <w:t>g、对检查人员提出的整改要求不认真履行整改义务的；</w:t>
      </w:r>
    </w:p>
    <w:p>
      <w:pPr>
        <w:widowControl w:val="0"/>
        <w:ind w:firstLine="480"/>
      </w:pPr>
      <w:r>
        <w:rPr>
          <w:rFonts w:hint="eastAsia"/>
        </w:rPr>
        <w:t>h、有其他违法违规行为的。</w:t>
      </w:r>
    </w:p>
    <w:p>
      <w:pPr>
        <w:widowControl w:val="0"/>
        <w:ind w:firstLine="480"/>
      </w:pPr>
      <w:r>
        <w:rPr>
          <w:rFonts w:hint="eastAsia"/>
        </w:rPr>
        <w:t>（四）监督各</w:t>
      </w:r>
      <w:r>
        <w:t>专业分包单位履行</w:t>
      </w:r>
      <w:r>
        <w:rPr>
          <w:rFonts w:hint="eastAsia"/>
        </w:rPr>
        <w:t>法律规定的</w:t>
      </w:r>
      <w:r>
        <w:t>职责</w:t>
      </w:r>
      <w:r>
        <w:rPr>
          <w:rFonts w:hint="eastAsia"/>
        </w:rPr>
        <w:t>。</w:t>
      </w:r>
    </w:p>
    <w:p>
      <w:pPr>
        <w:widowControl w:val="0"/>
        <w:ind w:firstLine="482"/>
      </w:pPr>
      <w:r>
        <w:rPr>
          <w:rFonts w:hint="eastAsia"/>
          <w:b/>
        </w:rPr>
        <w:t xml:space="preserve">第七条 </w:t>
      </w:r>
      <w:r>
        <w:rPr>
          <w:rFonts w:hint="eastAsia"/>
        </w:rPr>
        <w:t>工区项目部</w:t>
      </w:r>
    </w:p>
    <w:p>
      <w:pPr>
        <w:widowControl w:val="0"/>
        <w:ind w:firstLine="480"/>
      </w:pPr>
      <w:r>
        <w:rPr>
          <w:rFonts w:hint="eastAsia"/>
        </w:rPr>
        <w:t>（一）制定并落实本工区特种作业人员安全操作规程和有关安全管理制度。</w:t>
      </w:r>
    </w:p>
    <w:p>
      <w:pPr>
        <w:widowControl w:val="0"/>
        <w:ind w:firstLine="480"/>
      </w:pPr>
      <w:r>
        <w:rPr>
          <w:rFonts w:hint="eastAsia"/>
        </w:rPr>
        <w:t>（二）负责对工区特种作业人员的需求审核和岗位核定，并对工区特种作业人员的生产作业活动进行安全监督和指导。</w:t>
      </w:r>
    </w:p>
    <w:p>
      <w:pPr>
        <w:widowControl w:val="0"/>
        <w:ind w:firstLine="480"/>
      </w:pPr>
      <w:r>
        <w:rPr>
          <w:rFonts w:hint="eastAsia"/>
        </w:rPr>
        <w:t>（三）负责向特种作业人员提供齐全、合格的安全劳动防护用品和安全作业的条件。</w:t>
      </w:r>
    </w:p>
    <w:p>
      <w:pPr>
        <w:widowControl w:val="0"/>
        <w:ind w:firstLine="480"/>
      </w:pPr>
      <w:r>
        <w:rPr>
          <w:rFonts w:hint="eastAsia"/>
        </w:rPr>
        <w:t>（四）负责做好申报、培训、考核、延期的组织工作并建立特种作业人员资格证书登记表和特种作业人员资料</w:t>
      </w:r>
      <w:r>
        <w:rPr>
          <w:rFonts w:hint="eastAsia"/>
          <w:lang w:eastAsia="zh-CN"/>
        </w:rPr>
        <w:t>台账</w:t>
      </w:r>
      <w:r>
        <w:rPr>
          <w:rFonts w:hint="eastAsia"/>
        </w:rPr>
        <w:t>。</w:t>
      </w:r>
    </w:p>
    <w:p>
      <w:pPr>
        <w:widowControl w:val="0"/>
        <w:ind w:firstLine="480"/>
      </w:pPr>
      <w:r>
        <w:rPr>
          <w:rFonts w:hint="eastAsia"/>
        </w:rPr>
        <w:t>（五）结合施工现场实际情况，向特种作业人员进行书面安全技术交底，告知特种作业人员违章操作的危害。</w:t>
      </w:r>
    </w:p>
    <w:p>
      <w:pPr>
        <w:pStyle w:val="3"/>
        <w:widowControl w:val="0"/>
      </w:pPr>
      <w:r>
        <w:rPr>
          <w:rFonts w:hint="eastAsia"/>
        </w:rPr>
        <w:t>第四章 培训</w:t>
      </w:r>
      <w:r>
        <w:t>考核</w:t>
      </w:r>
    </w:p>
    <w:p>
      <w:pPr>
        <w:widowControl w:val="0"/>
        <w:ind w:firstLine="482"/>
      </w:pPr>
      <w:r>
        <w:rPr>
          <w:rFonts w:hint="eastAsia"/>
          <w:b/>
        </w:rPr>
        <w:t xml:space="preserve">第八条 </w:t>
      </w:r>
      <w:r>
        <w:rPr>
          <w:rFonts w:hint="eastAsia"/>
        </w:rPr>
        <w:t>工区应及时组织建筑施工特种作业人员参加年度安全教育培训或继续教育。一个有效期内，培训时间不少于48学时。</w:t>
      </w:r>
    </w:p>
    <w:p>
      <w:pPr>
        <w:widowControl w:val="0"/>
        <w:ind w:firstLine="482"/>
      </w:pPr>
      <w:r>
        <w:rPr>
          <w:rFonts w:hint="eastAsia"/>
          <w:b/>
        </w:rPr>
        <w:t xml:space="preserve">第九条 </w:t>
      </w:r>
      <w:r>
        <w:rPr>
          <w:rFonts w:hint="eastAsia"/>
        </w:rPr>
        <w:t>对于首次取得资格证书的人员，应当在其正式上岗前安排不少于3个月的实习操作。</w:t>
      </w:r>
    </w:p>
    <w:p>
      <w:pPr>
        <w:widowControl w:val="0"/>
        <w:ind w:firstLine="482"/>
      </w:pPr>
      <w:r>
        <w:rPr>
          <w:rFonts w:hint="eastAsia"/>
          <w:b/>
        </w:rPr>
        <w:t xml:space="preserve">第十条 </w:t>
      </w:r>
      <w:r>
        <w:rPr>
          <w:rFonts w:hint="eastAsia"/>
        </w:rPr>
        <w:t>申请特种作业人员安全操作技能考核的人员应符合《</w:t>
      </w:r>
      <w:r>
        <w:t>浙江省建筑施工特种作业人员管理办法</w:t>
      </w:r>
      <w:r>
        <w:rPr>
          <w:rFonts w:hint="eastAsia"/>
        </w:rPr>
        <w:t>（试行）》（</w:t>
      </w:r>
      <w:r>
        <w:t>浙建建</w:t>
      </w:r>
      <w:r>
        <w:rPr>
          <w:rFonts w:hint="eastAsia"/>
        </w:rPr>
        <w:t>[</w:t>
      </w:r>
      <w:r>
        <w:t>2009]25号</w:t>
      </w:r>
      <w:r>
        <w:rPr>
          <w:rFonts w:hint="eastAsia"/>
        </w:rPr>
        <w:t>）相关规定和要求。</w:t>
      </w:r>
    </w:p>
    <w:p>
      <w:pPr>
        <w:pStyle w:val="3"/>
        <w:widowControl w:val="0"/>
      </w:pPr>
      <w:r>
        <w:rPr>
          <w:rFonts w:hint="eastAsia"/>
        </w:rPr>
        <w:t>第五章 罚则</w:t>
      </w:r>
    </w:p>
    <w:p>
      <w:pPr>
        <w:widowControl w:val="0"/>
        <w:ind w:firstLine="482"/>
      </w:pPr>
      <w:r>
        <w:rPr>
          <w:rFonts w:hint="eastAsia"/>
          <w:b/>
        </w:rPr>
        <w:t xml:space="preserve">第十一条 </w:t>
      </w:r>
      <w:r>
        <w:rPr>
          <w:rFonts w:hint="eastAsia"/>
        </w:rPr>
        <w:t>特种作业人员管理过程出现违规而造成经营生产损失时，</w:t>
      </w:r>
      <w:r>
        <w:t>按《浙江省建筑施工特种作业人员管理办法</w:t>
      </w:r>
      <w:r>
        <w:rPr>
          <w:rFonts w:hint="eastAsia"/>
        </w:rPr>
        <w:t>（试行）</w:t>
      </w:r>
      <w:r>
        <w:t>》</w:t>
      </w:r>
      <w:r>
        <w:rPr>
          <w:rFonts w:hint="eastAsia"/>
        </w:rPr>
        <w:t>、</w:t>
      </w:r>
      <w:r>
        <w:t>《</w:t>
      </w:r>
      <w:r>
        <w:rPr>
          <w:rFonts w:hint="eastAsia"/>
        </w:rPr>
        <w:t>安全质量文明施工违约处罚实施细则</w:t>
      </w:r>
      <w:r>
        <w:t>》</w:t>
      </w:r>
      <w:r>
        <w:rPr>
          <w:rFonts w:hint="eastAsia"/>
        </w:rPr>
        <w:t>有关规定</w:t>
      </w:r>
      <w:r>
        <w:t>进行</w:t>
      </w:r>
      <w:r>
        <w:rPr>
          <w:rFonts w:hint="eastAsia"/>
        </w:rPr>
        <w:t>责任追究和</w:t>
      </w:r>
      <w:r>
        <w:t>处罚</w:t>
      </w:r>
      <w:r>
        <w:rPr>
          <w:rFonts w:hint="eastAsia"/>
        </w:rPr>
        <w:t>。</w:t>
      </w:r>
    </w:p>
    <w:p>
      <w:pPr>
        <w:widowControl w:val="0"/>
        <w:ind w:firstLine="482"/>
      </w:pPr>
      <w:r>
        <w:rPr>
          <w:rFonts w:hint="eastAsia"/>
          <w:b/>
        </w:rPr>
        <w:t xml:space="preserve">第十二条 </w:t>
      </w:r>
      <w:r>
        <w:rPr>
          <w:rFonts w:hint="eastAsia"/>
        </w:rPr>
        <w:t>工区因特种作业人员管理存在问题时，纳入工区月度</w:t>
      </w:r>
      <w:r>
        <w:t>、</w:t>
      </w:r>
      <w:r>
        <w:rPr>
          <w:rFonts w:hint="eastAsia"/>
        </w:rPr>
        <w:t>季度施工技术管理考评，同时列入总承包项目部对工区月度综合</w:t>
      </w:r>
      <w:r>
        <w:t>评比</w:t>
      </w:r>
      <w:r>
        <w:rPr>
          <w:rFonts w:hint="eastAsia"/>
        </w:rPr>
        <w:t>考核。</w:t>
      </w:r>
    </w:p>
    <w:p>
      <w:pPr>
        <w:widowControl w:val="0"/>
        <w:ind w:firstLine="480"/>
      </w:pPr>
    </w:p>
    <w:p>
      <w:pPr>
        <w:widowControl w:val="0"/>
        <w:ind w:firstLine="482"/>
      </w:pPr>
      <w:r>
        <w:rPr>
          <w:rFonts w:hint="eastAsia"/>
          <w:b/>
          <w:bCs/>
        </w:rPr>
        <w:t>附件1：</w:t>
      </w:r>
      <w:r>
        <w:rPr>
          <w:rFonts w:hint="eastAsia"/>
        </w:rPr>
        <w:t>《特种作业人员资格证书登记表》</w:t>
      </w:r>
    </w:p>
    <w:p>
      <w:pPr>
        <w:widowControl w:val="0"/>
        <w:ind w:firstLine="482"/>
        <w:sectPr>
          <w:footerReference r:id="rId20" w:type="default"/>
          <w:footerReference r:id="rId21" w:type="even"/>
          <w:pgSz w:w="11906" w:h="16838"/>
          <w:pgMar w:top="2098" w:right="1474" w:bottom="1985" w:left="1588" w:header="851" w:footer="992" w:gutter="0"/>
          <w:cols w:space="425" w:num="1"/>
          <w:docGrid w:type="lines" w:linePitch="312" w:charSpace="0"/>
        </w:sectPr>
      </w:pPr>
      <w:r>
        <w:rPr>
          <w:rFonts w:hint="eastAsia"/>
          <w:b/>
          <w:bCs/>
        </w:rPr>
        <w:t>附件2：</w:t>
      </w:r>
      <w:r>
        <w:rPr>
          <w:rFonts w:hint="eastAsia"/>
        </w:rPr>
        <w:t>《特种作业人员资料台账》</w:t>
      </w: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附件1</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特种作业人员资格证书登记表</w:t>
      </w:r>
    </w:p>
    <w:p>
      <w:pPr>
        <w:spacing w:after="156" w:afterLines="50"/>
        <w:ind w:firstLine="0" w:firstLineChars="0"/>
        <w:rPr>
          <w:u w:val="single"/>
        </w:rPr>
      </w:pPr>
      <w:r>
        <w:rPr>
          <w:rFonts w:hint="eastAsia"/>
        </w:rPr>
        <w:t>工程名称：</w:t>
      </w:r>
      <w:r>
        <w:rPr>
          <w:u w:val="single"/>
        </w:rPr>
        <w:t xml:space="preserve">                                   </w:t>
      </w:r>
    </w:p>
    <w:tbl>
      <w:tblPr>
        <w:tblStyle w:val="22"/>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52"/>
        <w:gridCol w:w="1367"/>
        <w:gridCol w:w="852"/>
        <w:gridCol w:w="1366"/>
        <w:gridCol w:w="851"/>
        <w:gridCol w:w="1366"/>
        <w:gridCol w:w="1366"/>
        <w:gridCol w:w="1366"/>
        <w:gridCol w:w="136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Align w:val="center"/>
          </w:tcPr>
          <w:p>
            <w:pPr>
              <w:spacing w:line="240" w:lineRule="auto"/>
              <w:ind w:firstLine="0" w:firstLineChars="0"/>
              <w:jc w:val="center"/>
              <w:rPr>
                <w:rFonts w:ascii="宋体" w:hAnsi="宋体" w:eastAsia="宋体"/>
              </w:rPr>
            </w:pPr>
            <w:r>
              <w:rPr>
                <w:rFonts w:hint="eastAsia" w:ascii="宋体" w:hAnsi="宋体" w:eastAsia="宋体"/>
              </w:rPr>
              <w:t>序号</w:t>
            </w:r>
          </w:p>
        </w:tc>
        <w:tc>
          <w:tcPr>
            <w:tcW w:w="852" w:type="dxa"/>
            <w:vAlign w:val="center"/>
          </w:tcPr>
          <w:p>
            <w:pPr>
              <w:spacing w:line="240" w:lineRule="auto"/>
              <w:ind w:firstLine="0" w:firstLineChars="0"/>
              <w:jc w:val="center"/>
              <w:rPr>
                <w:rFonts w:ascii="宋体" w:hAnsi="宋体" w:eastAsia="宋体"/>
              </w:rPr>
            </w:pPr>
            <w:r>
              <w:rPr>
                <w:rFonts w:hint="eastAsia" w:ascii="宋体" w:hAnsi="宋体" w:eastAsia="宋体"/>
              </w:rPr>
              <w:t>姓名</w:t>
            </w:r>
          </w:p>
        </w:tc>
        <w:tc>
          <w:tcPr>
            <w:tcW w:w="1367" w:type="dxa"/>
            <w:vAlign w:val="center"/>
          </w:tcPr>
          <w:p>
            <w:pPr>
              <w:spacing w:line="240" w:lineRule="auto"/>
              <w:ind w:firstLine="0" w:firstLineChars="0"/>
              <w:jc w:val="center"/>
              <w:rPr>
                <w:rFonts w:ascii="宋体" w:hAnsi="宋体" w:eastAsia="宋体"/>
              </w:rPr>
            </w:pPr>
            <w:r>
              <w:rPr>
                <w:rFonts w:hint="eastAsia" w:ascii="宋体" w:hAnsi="宋体" w:eastAsia="宋体"/>
              </w:rPr>
              <w:t>身份证号</w:t>
            </w:r>
          </w:p>
        </w:tc>
        <w:tc>
          <w:tcPr>
            <w:tcW w:w="852" w:type="dxa"/>
            <w:vAlign w:val="center"/>
          </w:tcPr>
          <w:p>
            <w:pPr>
              <w:spacing w:line="240" w:lineRule="auto"/>
              <w:ind w:firstLine="0" w:firstLineChars="0"/>
              <w:jc w:val="center"/>
              <w:rPr>
                <w:rFonts w:ascii="宋体" w:hAnsi="宋体" w:eastAsia="宋体"/>
              </w:rPr>
            </w:pPr>
            <w:r>
              <w:rPr>
                <w:rFonts w:hint="eastAsia" w:ascii="宋体" w:hAnsi="宋体" w:eastAsia="宋体"/>
              </w:rPr>
              <w:t>性别</w:t>
            </w:r>
          </w:p>
        </w:tc>
        <w:tc>
          <w:tcPr>
            <w:tcW w:w="1366" w:type="dxa"/>
            <w:vAlign w:val="center"/>
          </w:tcPr>
          <w:p>
            <w:pPr>
              <w:spacing w:line="240" w:lineRule="auto"/>
              <w:ind w:firstLine="0" w:firstLineChars="0"/>
              <w:jc w:val="center"/>
              <w:rPr>
                <w:rFonts w:ascii="宋体" w:hAnsi="宋体" w:eastAsia="宋体"/>
              </w:rPr>
            </w:pPr>
            <w:r>
              <w:rPr>
                <w:rFonts w:hint="eastAsia" w:ascii="宋体" w:hAnsi="宋体" w:eastAsia="宋体"/>
              </w:rPr>
              <w:t>出生年月</w:t>
            </w:r>
          </w:p>
        </w:tc>
        <w:tc>
          <w:tcPr>
            <w:tcW w:w="851" w:type="dxa"/>
            <w:vAlign w:val="center"/>
          </w:tcPr>
          <w:p>
            <w:pPr>
              <w:spacing w:line="240" w:lineRule="auto"/>
              <w:ind w:firstLine="0" w:firstLineChars="0"/>
              <w:jc w:val="center"/>
              <w:rPr>
                <w:rFonts w:ascii="宋体" w:hAnsi="宋体" w:eastAsia="宋体"/>
              </w:rPr>
            </w:pPr>
            <w:r>
              <w:rPr>
                <w:rFonts w:hint="eastAsia" w:ascii="宋体" w:hAnsi="宋体" w:eastAsia="宋体"/>
              </w:rPr>
              <w:t>工种</w:t>
            </w:r>
          </w:p>
        </w:tc>
        <w:tc>
          <w:tcPr>
            <w:tcW w:w="1366" w:type="dxa"/>
            <w:vAlign w:val="center"/>
          </w:tcPr>
          <w:p>
            <w:pPr>
              <w:spacing w:line="240" w:lineRule="auto"/>
              <w:ind w:firstLine="0" w:firstLineChars="0"/>
              <w:jc w:val="center"/>
              <w:rPr>
                <w:rFonts w:ascii="宋体" w:hAnsi="宋体" w:eastAsia="宋体"/>
              </w:rPr>
            </w:pPr>
            <w:r>
              <w:rPr>
                <w:rFonts w:hint="eastAsia" w:ascii="宋体" w:hAnsi="宋体" w:eastAsia="宋体"/>
              </w:rPr>
              <w:t>发证单位</w:t>
            </w:r>
          </w:p>
        </w:tc>
        <w:tc>
          <w:tcPr>
            <w:tcW w:w="1366" w:type="dxa"/>
            <w:vAlign w:val="center"/>
          </w:tcPr>
          <w:p>
            <w:pPr>
              <w:spacing w:line="240" w:lineRule="auto"/>
              <w:ind w:firstLine="0" w:firstLineChars="0"/>
              <w:jc w:val="center"/>
              <w:rPr>
                <w:rFonts w:ascii="宋体" w:hAnsi="宋体" w:eastAsia="宋体"/>
              </w:rPr>
            </w:pPr>
            <w:r>
              <w:rPr>
                <w:rFonts w:hint="eastAsia" w:ascii="宋体" w:hAnsi="宋体" w:eastAsia="宋体"/>
              </w:rPr>
              <w:t>证书编号</w:t>
            </w:r>
          </w:p>
        </w:tc>
        <w:tc>
          <w:tcPr>
            <w:tcW w:w="1366" w:type="dxa"/>
            <w:vAlign w:val="center"/>
          </w:tcPr>
          <w:p>
            <w:pPr>
              <w:spacing w:line="240" w:lineRule="auto"/>
              <w:ind w:firstLine="0" w:firstLineChars="0"/>
              <w:jc w:val="center"/>
              <w:rPr>
                <w:rFonts w:ascii="宋体" w:hAnsi="宋体" w:eastAsia="宋体"/>
              </w:rPr>
            </w:pPr>
            <w:r>
              <w:rPr>
                <w:rFonts w:hint="eastAsia" w:ascii="宋体" w:hAnsi="宋体" w:eastAsia="宋体"/>
              </w:rPr>
              <w:t>证书</w:t>
            </w:r>
          </w:p>
          <w:p>
            <w:pPr>
              <w:spacing w:line="240" w:lineRule="auto"/>
              <w:ind w:firstLine="0" w:firstLineChars="0"/>
              <w:jc w:val="center"/>
              <w:rPr>
                <w:rFonts w:ascii="宋体" w:hAnsi="宋体" w:eastAsia="宋体"/>
              </w:rPr>
            </w:pPr>
            <w:r>
              <w:rPr>
                <w:rFonts w:hint="eastAsia" w:ascii="宋体" w:hAnsi="宋体" w:eastAsia="宋体"/>
              </w:rPr>
              <w:t>有效日期</w:t>
            </w:r>
          </w:p>
        </w:tc>
        <w:tc>
          <w:tcPr>
            <w:tcW w:w="1366" w:type="dxa"/>
            <w:vAlign w:val="center"/>
          </w:tcPr>
          <w:p>
            <w:pPr>
              <w:spacing w:line="240" w:lineRule="auto"/>
              <w:ind w:firstLine="0" w:firstLineChars="0"/>
              <w:jc w:val="center"/>
              <w:rPr>
                <w:rFonts w:ascii="宋体" w:hAnsi="宋体" w:eastAsia="宋体"/>
              </w:rPr>
            </w:pPr>
            <w:r>
              <w:rPr>
                <w:rFonts w:hint="eastAsia" w:ascii="宋体" w:hAnsi="宋体" w:eastAsia="宋体"/>
              </w:rPr>
              <w:t>进场日期</w:t>
            </w:r>
          </w:p>
        </w:tc>
        <w:tc>
          <w:tcPr>
            <w:tcW w:w="1366" w:type="dxa"/>
            <w:vAlign w:val="center"/>
          </w:tcPr>
          <w:p>
            <w:pPr>
              <w:spacing w:line="240" w:lineRule="auto"/>
              <w:ind w:firstLine="0" w:firstLineChars="0"/>
              <w:jc w:val="center"/>
              <w:rPr>
                <w:rFonts w:ascii="宋体" w:hAnsi="宋体" w:eastAsia="宋体"/>
              </w:rPr>
            </w:pPr>
            <w:r>
              <w:rPr>
                <w:rFonts w:hint="eastAsia" w:ascii="宋体" w:hAnsi="宋体" w:eastAsia="宋体"/>
              </w:rPr>
              <w:t>出场日期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3"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7"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851"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3"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7"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851"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3"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7"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851"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3"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7"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851"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3"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7"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851"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3"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7"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851"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53"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7" w:type="dxa"/>
            <w:vAlign w:val="center"/>
          </w:tcPr>
          <w:p>
            <w:pPr>
              <w:spacing w:line="240" w:lineRule="auto"/>
              <w:ind w:firstLine="0" w:firstLineChars="0"/>
              <w:jc w:val="center"/>
              <w:rPr>
                <w:rFonts w:ascii="宋体" w:hAnsi="宋体" w:eastAsia="宋体"/>
              </w:rPr>
            </w:pPr>
          </w:p>
        </w:tc>
        <w:tc>
          <w:tcPr>
            <w:tcW w:w="852"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851"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c>
          <w:tcPr>
            <w:tcW w:w="1366" w:type="dxa"/>
            <w:vAlign w:val="center"/>
          </w:tcPr>
          <w:p>
            <w:pPr>
              <w:spacing w:line="240" w:lineRule="auto"/>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1" w:type="dxa"/>
            <w:gridSpan w:val="11"/>
            <w:vAlign w:val="center"/>
          </w:tcPr>
          <w:p>
            <w:pPr>
              <w:spacing w:line="240" w:lineRule="auto"/>
              <w:ind w:firstLine="0" w:firstLineChars="0"/>
              <w:jc w:val="left"/>
              <w:rPr>
                <w:rFonts w:ascii="宋体" w:hAnsi="宋体" w:eastAsia="宋体"/>
              </w:rPr>
            </w:pPr>
            <w:r>
              <w:rPr>
                <w:rFonts w:hint="eastAsia" w:ascii="宋体" w:hAnsi="宋体" w:eastAsia="宋体"/>
              </w:rPr>
              <w:t>注：</w:t>
            </w:r>
            <w:r>
              <w:rPr>
                <w:rFonts w:ascii="宋体" w:hAnsi="宋体" w:eastAsia="宋体"/>
              </w:rPr>
              <w:t>1</w:t>
            </w:r>
            <w:r>
              <w:rPr>
                <w:rFonts w:hint="eastAsia" w:ascii="宋体" w:hAnsi="宋体" w:eastAsia="宋体"/>
              </w:rPr>
              <w:t>、建筑施工特种作业人员：依据浙建建（</w:t>
            </w:r>
            <w:r>
              <w:rPr>
                <w:rFonts w:ascii="宋体" w:hAnsi="宋体" w:eastAsia="宋体"/>
              </w:rPr>
              <w:t>2009</w:t>
            </w:r>
            <w:r>
              <w:rPr>
                <w:rFonts w:hint="eastAsia" w:ascii="宋体" w:hAnsi="宋体" w:eastAsia="宋体"/>
              </w:rPr>
              <w:t>）</w:t>
            </w:r>
            <w:r>
              <w:rPr>
                <w:rFonts w:ascii="宋体" w:hAnsi="宋体" w:eastAsia="宋体"/>
              </w:rPr>
              <w:t>25</w:t>
            </w:r>
            <w:r>
              <w:rPr>
                <w:rFonts w:hint="eastAsia" w:ascii="宋体" w:hAnsi="宋体" w:eastAsia="宋体"/>
              </w:rPr>
              <w:t>号文件规定</w:t>
            </w:r>
            <w:r>
              <w:rPr>
                <w:rFonts w:ascii="宋体" w:hAnsi="宋体" w:eastAsia="宋体"/>
              </w:rPr>
              <w:t>2</w:t>
            </w:r>
            <w:r>
              <w:rPr>
                <w:rFonts w:hint="eastAsia" w:ascii="宋体" w:hAnsi="宋体" w:eastAsia="宋体"/>
              </w:rPr>
              <w:t>、分包单位特种作业人员证书一并登记；</w:t>
            </w:r>
            <w:r>
              <w:rPr>
                <w:rFonts w:ascii="宋体" w:hAnsi="宋体" w:eastAsia="宋体"/>
              </w:rPr>
              <w:t>3</w:t>
            </w:r>
            <w:r>
              <w:rPr>
                <w:rFonts w:hint="eastAsia" w:ascii="宋体" w:hAnsi="宋体" w:eastAsia="宋体"/>
              </w:rPr>
              <w:t>、本表在施工过程中动态管理。</w:t>
            </w:r>
          </w:p>
        </w:tc>
      </w:tr>
    </w:tbl>
    <w:p>
      <w:pPr>
        <w:ind w:firstLine="480"/>
      </w:pPr>
    </w:p>
    <w:p>
      <w:pPr>
        <w:ind w:firstLine="480"/>
        <w:rPr>
          <w:rFonts w:ascii="宋体" w:hAnsi="宋体" w:eastAsia="宋体"/>
        </w:rPr>
      </w:pPr>
      <w:r>
        <w:rPr>
          <w:rFonts w:hint="eastAsia" w:ascii="宋体" w:hAnsi="宋体" w:eastAsia="宋体"/>
        </w:rPr>
        <w:t>填表人：</w:t>
      </w:r>
      <w:r>
        <w:rPr>
          <w:rFonts w:ascii="宋体" w:hAnsi="宋体" w:eastAsia="宋体"/>
        </w:rPr>
        <w:t xml:space="preserve">                                    </w:t>
      </w:r>
      <w:r>
        <w:rPr>
          <w:rFonts w:hint="eastAsia" w:ascii="宋体" w:hAnsi="宋体" w:eastAsia="宋体"/>
        </w:rPr>
        <w:t>项目经理：</w:t>
      </w:r>
      <w:r>
        <w:rPr>
          <w:rFonts w:ascii="宋体" w:hAnsi="宋体" w:eastAsia="宋体"/>
        </w:rPr>
        <w:t xml:space="preserve">                               </w:t>
      </w:r>
      <w:r>
        <w:rPr>
          <w:rFonts w:hint="eastAsia" w:ascii="宋体" w:hAnsi="宋体" w:eastAsia="宋体"/>
        </w:rPr>
        <w:t>日期：</w:t>
      </w: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附件2</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特种作业人员资料台账</w:t>
      </w:r>
    </w:p>
    <w:p>
      <w:pPr>
        <w:spacing w:after="156" w:afterLines="50"/>
        <w:ind w:firstLine="0" w:firstLineChars="0"/>
        <w:rPr>
          <w:u w:val="single"/>
        </w:rPr>
      </w:pPr>
      <w:r>
        <w:rPr>
          <w:rFonts w:hint="eastAsia"/>
        </w:rPr>
        <w:t>工程名称：</w:t>
      </w:r>
      <w:r>
        <w:rPr>
          <w:u w:val="single"/>
        </w:rPr>
        <w:t xml:space="preserve">                                   </w:t>
      </w:r>
    </w:p>
    <w:tbl>
      <w:tblPr>
        <w:tblStyle w:val="22"/>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887"/>
        <w:gridCol w:w="1346"/>
        <w:gridCol w:w="887"/>
        <w:gridCol w:w="1346"/>
        <w:gridCol w:w="887"/>
        <w:gridCol w:w="1346"/>
        <w:gridCol w:w="1346"/>
        <w:gridCol w:w="1346"/>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spacing w:line="240" w:lineRule="auto"/>
              <w:ind w:firstLine="0" w:firstLineChars="0"/>
              <w:jc w:val="center"/>
            </w:pPr>
            <w:r>
              <w:rPr>
                <w:rFonts w:hint="eastAsia"/>
              </w:rPr>
              <w:t>序号</w:t>
            </w:r>
          </w:p>
        </w:tc>
        <w:tc>
          <w:tcPr>
            <w:tcW w:w="887" w:type="dxa"/>
            <w:vAlign w:val="center"/>
          </w:tcPr>
          <w:p>
            <w:pPr>
              <w:spacing w:line="240" w:lineRule="auto"/>
              <w:ind w:firstLine="0" w:firstLineChars="0"/>
              <w:jc w:val="center"/>
            </w:pPr>
            <w:r>
              <w:rPr>
                <w:rFonts w:hint="eastAsia"/>
              </w:rPr>
              <w:t>姓名</w:t>
            </w:r>
          </w:p>
        </w:tc>
        <w:tc>
          <w:tcPr>
            <w:tcW w:w="1346" w:type="dxa"/>
            <w:vAlign w:val="center"/>
          </w:tcPr>
          <w:p>
            <w:pPr>
              <w:spacing w:line="240" w:lineRule="auto"/>
              <w:ind w:firstLine="0" w:firstLineChars="0"/>
              <w:jc w:val="center"/>
            </w:pPr>
            <w:r>
              <w:rPr>
                <w:rFonts w:hint="eastAsia"/>
              </w:rPr>
              <w:t>身份证号</w:t>
            </w:r>
          </w:p>
        </w:tc>
        <w:tc>
          <w:tcPr>
            <w:tcW w:w="887" w:type="dxa"/>
            <w:vAlign w:val="center"/>
          </w:tcPr>
          <w:p>
            <w:pPr>
              <w:spacing w:line="240" w:lineRule="auto"/>
              <w:ind w:firstLine="0" w:firstLineChars="0"/>
              <w:jc w:val="center"/>
            </w:pPr>
            <w:r>
              <w:rPr>
                <w:rFonts w:hint="eastAsia"/>
              </w:rPr>
              <w:t>性别</w:t>
            </w:r>
          </w:p>
        </w:tc>
        <w:tc>
          <w:tcPr>
            <w:tcW w:w="1346" w:type="dxa"/>
            <w:vAlign w:val="center"/>
          </w:tcPr>
          <w:p>
            <w:pPr>
              <w:spacing w:line="240" w:lineRule="auto"/>
              <w:ind w:firstLine="0" w:firstLineChars="0"/>
              <w:jc w:val="center"/>
            </w:pPr>
            <w:r>
              <w:rPr>
                <w:rFonts w:hint="eastAsia"/>
              </w:rPr>
              <w:t>出生年月</w:t>
            </w:r>
          </w:p>
        </w:tc>
        <w:tc>
          <w:tcPr>
            <w:tcW w:w="887" w:type="dxa"/>
            <w:vAlign w:val="center"/>
          </w:tcPr>
          <w:p>
            <w:pPr>
              <w:spacing w:line="240" w:lineRule="auto"/>
              <w:ind w:firstLine="0" w:firstLineChars="0"/>
              <w:jc w:val="center"/>
            </w:pPr>
            <w:r>
              <w:rPr>
                <w:rFonts w:hint="eastAsia"/>
              </w:rPr>
              <w:t>工种</w:t>
            </w:r>
          </w:p>
        </w:tc>
        <w:tc>
          <w:tcPr>
            <w:tcW w:w="1346" w:type="dxa"/>
            <w:vAlign w:val="center"/>
          </w:tcPr>
          <w:p>
            <w:pPr>
              <w:spacing w:line="240" w:lineRule="auto"/>
              <w:ind w:firstLine="0" w:firstLineChars="0"/>
              <w:jc w:val="center"/>
            </w:pPr>
            <w:r>
              <w:rPr>
                <w:rFonts w:hint="eastAsia"/>
              </w:rPr>
              <w:t>发证单位</w:t>
            </w:r>
          </w:p>
        </w:tc>
        <w:tc>
          <w:tcPr>
            <w:tcW w:w="1346" w:type="dxa"/>
            <w:vAlign w:val="center"/>
          </w:tcPr>
          <w:p>
            <w:pPr>
              <w:spacing w:line="240" w:lineRule="auto"/>
              <w:ind w:firstLine="0" w:firstLineChars="0"/>
              <w:jc w:val="center"/>
            </w:pPr>
            <w:r>
              <w:rPr>
                <w:rFonts w:hint="eastAsia"/>
              </w:rPr>
              <w:t>证书编号</w:t>
            </w:r>
          </w:p>
        </w:tc>
        <w:tc>
          <w:tcPr>
            <w:tcW w:w="1346" w:type="dxa"/>
            <w:vAlign w:val="center"/>
          </w:tcPr>
          <w:p>
            <w:pPr>
              <w:spacing w:line="240" w:lineRule="auto"/>
              <w:ind w:firstLine="0" w:firstLineChars="0"/>
              <w:jc w:val="center"/>
            </w:pPr>
            <w:r>
              <w:rPr>
                <w:rFonts w:hint="eastAsia"/>
              </w:rPr>
              <w:t>发证日期</w:t>
            </w:r>
          </w:p>
        </w:tc>
        <w:tc>
          <w:tcPr>
            <w:tcW w:w="1346" w:type="dxa"/>
            <w:vAlign w:val="center"/>
          </w:tcPr>
          <w:p>
            <w:pPr>
              <w:spacing w:line="240" w:lineRule="auto"/>
              <w:ind w:firstLine="0" w:firstLineChars="0"/>
              <w:jc w:val="center"/>
            </w:pPr>
            <w:r>
              <w:rPr>
                <w:rFonts w:hint="eastAsia"/>
              </w:rPr>
              <w:t>证书</w:t>
            </w:r>
          </w:p>
          <w:p>
            <w:pPr>
              <w:spacing w:line="240" w:lineRule="auto"/>
              <w:ind w:firstLine="0" w:firstLineChars="0"/>
              <w:jc w:val="center"/>
            </w:pPr>
            <w:r>
              <w:rPr>
                <w:rFonts w:hint="eastAsia"/>
              </w:rPr>
              <w:t>有效日期</w:t>
            </w:r>
          </w:p>
        </w:tc>
        <w:tc>
          <w:tcPr>
            <w:tcW w:w="1346" w:type="dxa"/>
            <w:vAlign w:val="center"/>
          </w:tcPr>
          <w:p>
            <w:pPr>
              <w:spacing w:line="240" w:lineRule="auto"/>
              <w:ind w:firstLine="0" w:firstLineChars="0"/>
              <w:jc w:val="center"/>
            </w:pPr>
            <w:r>
              <w:rPr>
                <w:rFonts w:hint="eastAsia"/>
              </w:rPr>
              <w:t>入场日期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88"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88"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88"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88"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88"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88"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88"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887"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c>
          <w:tcPr>
            <w:tcW w:w="1346"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1" w:type="dxa"/>
            <w:gridSpan w:val="11"/>
            <w:vAlign w:val="center"/>
          </w:tcPr>
          <w:p>
            <w:pPr>
              <w:spacing w:line="240" w:lineRule="auto"/>
              <w:ind w:firstLine="0" w:firstLineChars="0"/>
              <w:jc w:val="left"/>
            </w:pPr>
            <w:r>
              <w:rPr>
                <w:rFonts w:hint="eastAsia"/>
              </w:rPr>
              <w:t>注：</w:t>
            </w:r>
            <w:r>
              <w:t>1</w:t>
            </w:r>
            <w:r>
              <w:rPr>
                <w:rFonts w:hint="eastAsia"/>
              </w:rPr>
              <w:t>、建筑施工特种作业人员：依据浙建建（</w:t>
            </w:r>
            <w:r>
              <w:t>2009</w:t>
            </w:r>
            <w:r>
              <w:rPr>
                <w:rFonts w:hint="eastAsia"/>
              </w:rPr>
              <w:t>）</w:t>
            </w:r>
            <w:r>
              <w:t>25</w:t>
            </w:r>
            <w:r>
              <w:rPr>
                <w:rFonts w:hint="eastAsia"/>
              </w:rPr>
              <w:t>号文件规定；</w:t>
            </w:r>
            <w:r>
              <w:t>2</w:t>
            </w:r>
            <w:r>
              <w:rPr>
                <w:rFonts w:hint="eastAsia"/>
              </w:rPr>
              <w:t>、分包单位特种作业人员证书一并登记；</w:t>
            </w:r>
            <w:r>
              <w:t>3</w:t>
            </w:r>
            <w:r>
              <w:rPr>
                <w:rFonts w:hint="eastAsia"/>
              </w:rPr>
              <w:t>、本表在施工过程中动态管理；4、本表由工区填写，应及时登记，按月整理。</w:t>
            </w:r>
          </w:p>
        </w:tc>
      </w:tr>
    </w:tbl>
    <w:p>
      <w:pPr>
        <w:ind w:firstLine="480"/>
      </w:pPr>
    </w:p>
    <w:p>
      <w:pPr>
        <w:ind w:firstLine="480"/>
      </w:pPr>
      <w:r>
        <w:rPr>
          <w:rFonts w:hint="eastAsia"/>
        </w:rPr>
        <w:t>填表人：</w:t>
      </w:r>
      <w:r>
        <w:t xml:space="preserve">                                    </w:t>
      </w:r>
      <w:r>
        <w:rPr>
          <w:rFonts w:hint="eastAsia"/>
        </w:rPr>
        <w:t>项目经理：</w:t>
      </w:r>
      <w:r>
        <w:t xml:space="preserve">                               </w:t>
      </w:r>
      <w:r>
        <w:rPr>
          <w:rFonts w:hint="eastAsia"/>
        </w:rPr>
        <w:t>日期：</w:t>
      </w: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附件2</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特种作业人员资料台账</w:t>
      </w:r>
    </w:p>
    <w:tbl>
      <w:tblPr>
        <w:tblStyle w:val="22"/>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992"/>
        <w:gridCol w:w="802"/>
        <w:gridCol w:w="899"/>
        <w:gridCol w:w="1274"/>
        <w:gridCol w:w="2554"/>
        <w:gridCol w:w="1345"/>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17" w:type="dxa"/>
            <w:shd w:val="clear" w:color="auto" w:fill="auto"/>
            <w:vAlign w:val="center"/>
          </w:tcPr>
          <w:p>
            <w:pPr>
              <w:spacing w:line="240" w:lineRule="auto"/>
              <w:ind w:firstLine="0" w:firstLineChars="0"/>
              <w:jc w:val="center"/>
              <w:rPr>
                <w:rFonts w:ascii="宋体" w:hAnsi="宋体" w:eastAsia="宋体" w:cs="仿宋_GB2312"/>
              </w:rPr>
            </w:pPr>
            <w:r>
              <w:rPr>
                <w:rFonts w:hint="eastAsia" w:ascii="宋体" w:hAnsi="宋体" w:eastAsia="宋体" w:cs="仿宋_GB2312"/>
              </w:rPr>
              <w:t>序号</w:t>
            </w:r>
          </w:p>
        </w:tc>
        <w:tc>
          <w:tcPr>
            <w:tcW w:w="851" w:type="dxa"/>
            <w:shd w:val="clear" w:color="auto" w:fill="auto"/>
            <w:vAlign w:val="center"/>
          </w:tcPr>
          <w:p>
            <w:pPr>
              <w:spacing w:line="240" w:lineRule="auto"/>
              <w:ind w:firstLine="0" w:firstLineChars="0"/>
              <w:jc w:val="center"/>
              <w:rPr>
                <w:rFonts w:ascii="宋体" w:hAnsi="宋体" w:eastAsia="宋体" w:cs="仿宋_GB2312"/>
              </w:rPr>
            </w:pPr>
          </w:p>
        </w:tc>
        <w:tc>
          <w:tcPr>
            <w:tcW w:w="850" w:type="dxa"/>
            <w:shd w:val="clear" w:color="auto" w:fill="auto"/>
            <w:vAlign w:val="center"/>
          </w:tcPr>
          <w:p>
            <w:pPr>
              <w:spacing w:line="240" w:lineRule="auto"/>
              <w:ind w:firstLine="0" w:firstLineChars="0"/>
              <w:jc w:val="center"/>
              <w:rPr>
                <w:rFonts w:ascii="宋体" w:hAnsi="宋体" w:eastAsia="宋体" w:cs="仿宋_GB2312"/>
              </w:rPr>
            </w:pPr>
            <w:r>
              <w:rPr>
                <w:rFonts w:hint="eastAsia" w:ascii="宋体" w:hAnsi="宋体" w:eastAsia="宋体" w:cs="仿宋_GB2312"/>
              </w:rPr>
              <w:t>姓名</w:t>
            </w:r>
          </w:p>
        </w:tc>
        <w:tc>
          <w:tcPr>
            <w:tcW w:w="992" w:type="dxa"/>
            <w:shd w:val="clear" w:color="auto" w:fill="auto"/>
            <w:vAlign w:val="center"/>
          </w:tcPr>
          <w:p>
            <w:pPr>
              <w:spacing w:line="240" w:lineRule="auto"/>
              <w:ind w:firstLine="0" w:firstLineChars="0"/>
              <w:jc w:val="center"/>
              <w:rPr>
                <w:rFonts w:ascii="宋体" w:hAnsi="宋体" w:eastAsia="宋体" w:cs="仿宋_GB2312"/>
              </w:rPr>
            </w:pPr>
          </w:p>
        </w:tc>
        <w:tc>
          <w:tcPr>
            <w:tcW w:w="802" w:type="dxa"/>
            <w:shd w:val="clear" w:color="auto" w:fill="auto"/>
            <w:vAlign w:val="center"/>
          </w:tcPr>
          <w:p>
            <w:pPr>
              <w:spacing w:line="240" w:lineRule="auto"/>
              <w:ind w:firstLine="0" w:firstLineChars="0"/>
              <w:jc w:val="center"/>
              <w:rPr>
                <w:rFonts w:ascii="宋体" w:hAnsi="宋体" w:eastAsia="宋体" w:cs="仿宋_GB2312"/>
              </w:rPr>
            </w:pPr>
            <w:r>
              <w:rPr>
                <w:rFonts w:hint="eastAsia" w:ascii="宋体" w:hAnsi="宋体" w:eastAsia="宋体" w:cs="仿宋_GB2312"/>
              </w:rPr>
              <w:t>工种</w:t>
            </w:r>
          </w:p>
        </w:tc>
        <w:tc>
          <w:tcPr>
            <w:tcW w:w="899" w:type="dxa"/>
            <w:shd w:val="clear" w:color="auto" w:fill="auto"/>
            <w:vAlign w:val="center"/>
          </w:tcPr>
          <w:p>
            <w:pPr>
              <w:spacing w:line="240" w:lineRule="auto"/>
              <w:ind w:firstLine="0" w:firstLineChars="0"/>
              <w:jc w:val="center"/>
              <w:rPr>
                <w:rFonts w:ascii="宋体" w:hAnsi="宋体" w:eastAsia="宋体" w:cs="仿宋_GB2312"/>
              </w:rPr>
            </w:pPr>
          </w:p>
        </w:tc>
        <w:tc>
          <w:tcPr>
            <w:tcW w:w="1274" w:type="dxa"/>
            <w:shd w:val="clear" w:color="auto" w:fill="auto"/>
            <w:vAlign w:val="center"/>
          </w:tcPr>
          <w:p>
            <w:pPr>
              <w:spacing w:line="240" w:lineRule="auto"/>
              <w:ind w:firstLine="0" w:firstLineChars="0"/>
              <w:jc w:val="center"/>
              <w:rPr>
                <w:rFonts w:ascii="宋体" w:hAnsi="宋体" w:eastAsia="宋体" w:cs="仿宋_GB2312"/>
              </w:rPr>
            </w:pPr>
            <w:r>
              <w:rPr>
                <w:rFonts w:hint="eastAsia" w:ascii="宋体" w:hAnsi="宋体" w:eastAsia="宋体" w:cs="仿宋_GB2312"/>
              </w:rPr>
              <w:t>身份证号</w:t>
            </w:r>
          </w:p>
        </w:tc>
        <w:tc>
          <w:tcPr>
            <w:tcW w:w="2554" w:type="dxa"/>
            <w:shd w:val="clear" w:color="auto" w:fill="auto"/>
            <w:vAlign w:val="center"/>
          </w:tcPr>
          <w:p>
            <w:pPr>
              <w:spacing w:line="240" w:lineRule="auto"/>
              <w:ind w:firstLine="0" w:firstLineChars="0"/>
              <w:jc w:val="center"/>
              <w:rPr>
                <w:rFonts w:ascii="宋体" w:hAnsi="宋体" w:eastAsia="宋体" w:cs="仿宋_GB2312"/>
              </w:rPr>
            </w:pPr>
          </w:p>
        </w:tc>
        <w:tc>
          <w:tcPr>
            <w:tcW w:w="1345" w:type="dxa"/>
            <w:shd w:val="clear" w:color="auto" w:fill="auto"/>
            <w:vAlign w:val="center"/>
          </w:tcPr>
          <w:p>
            <w:pPr>
              <w:spacing w:line="240" w:lineRule="auto"/>
              <w:ind w:firstLine="0" w:firstLineChars="0"/>
              <w:jc w:val="center"/>
              <w:rPr>
                <w:rFonts w:ascii="宋体" w:hAnsi="宋体" w:eastAsia="宋体" w:cs="仿宋_GB2312"/>
              </w:rPr>
            </w:pPr>
            <w:r>
              <w:rPr>
                <w:rFonts w:hint="eastAsia" w:ascii="宋体" w:hAnsi="宋体" w:eastAsia="宋体" w:cs="仿宋_GB2312"/>
              </w:rPr>
              <w:t>证书编号</w:t>
            </w:r>
          </w:p>
        </w:tc>
        <w:tc>
          <w:tcPr>
            <w:tcW w:w="2587" w:type="dxa"/>
            <w:shd w:val="clear" w:color="auto" w:fill="auto"/>
            <w:vAlign w:val="center"/>
          </w:tcPr>
          <w:p>
            <w:pPr>
              <w:spacing w:line="240" w:lineRule="auto"/>
              <w:ind w:firstLine="0" w:firstLineChars="0"/>
              <w:jc w:val="center"/>
              <w:rPr>
                <w:rFonts w:ascii="宋体" w:hAnsi="宋体" w:eastAsia="宋体"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6" w:hRule="atLeast"/>
        </w:trPr>
        <w:tc>
          <w:tcPr>
            <w:tcW w:w="6485" w:type="dxa"/>
            <w:gridSpan w:val="7"/>
            <w:shd w:val="clear" w:color="auto" w:fill="auto"/>
            <w:vAlign w:val="center"/>
          </w:tcPr>
          <w:p>
            <w:pPr>
              <w:spacing w:line="240" w:lineRule="auto"/>
              <w:ind w:firstLine="0" w:firstLineChars="0"/>
              <w:jc w:val="center"/>
              <w:rPr>
                <w:rFonts w:ascii="宋体" w:hAnsi="宋体" w:eastAsia="宋体" w:cs="仿宋_GB2312"/>
              </w:rPr>
            </w:pPr>
            <w:r>
              <w:rPr>
                <w:rFonts w:hint="eastAsia" w:ascii="宋体" w:hAnsi="宋体" w:eastAsia="宋体" w:cs="仿宋_GB2312"/>
              </w:rPr>
              <w:t>（电子版身份证）</w:t>
            </w:r>
          </w:p>
        </w:tc>
        <w:tc>
          <w:tcPr>
            <w:tcW w:w="6486" w:type="dxa"/>
            <w:gridSpan w:val="3"/>
            <w:shd w:val="clear" w:color="auto" w:fill="auto"/>
            <w:vAlign w:val="center"/>
          </w:tcPr>
          <w:p>
            <w:pPr>
              <w:spacing w:line="240" w:lineRule="auto"/>
              <w:ind w:firstLine="0" w:firstLineChars="0"/>
              <w:jc w:val="center"/>
              <w:rPr>
                <w:rFonts w:ascii="宋体" w:hAnsi="宋体" w:eastAsia="宋体" w:cs="仿宋_GB2312"/>
              </w:rPr>
            </w:pPr>
            <w:r>
              <w:rPr>
                <w:rFonts w:hint="eastAsia" w:ascii="宋体" w:hAnsi="宋体" w:eastAsia="宋体" w:cs="仿宋_GB2312"/>
              </w:rPr>
              <w:t>（电子版特种人员资格证书）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12971" w:type="dxa"/>
            <w:gridSpan w:val="10"/>
            <w:shd w:val="clear" w:color="auto" w:fill="auto"/>
          </w:tcPr>
          <w:p>
            <w:pPr>
              <w:spacing w:line="240" w:lineRule="auto"/>
              <w:ind w:firstLine="0" w:firstLineChars="0"/>
              <w:jc w:val="left"/>
              <w:rPr>
                <w:rFonts w:ascii="宋体" w:hAnsi="宋体" w:eastAsia="宋体" w:cs="仿宋_GB2312"/>
              </w:rPr>
            </w:pPr>
            <w:r>
              <w:rPr>
                <w:rFonts w:hint="eastAsia" w:ascii="宋体" w:hAnsi="宋体" w:eastAsia="宋体"/>
              </w:rPr>
              <w:t>注：</w:t>
            </w:r>
            <w:r>
              <w:rPr>
                <w:rFonts w:ascii="宋体" w:hAnsi="宋体" w:eastAsia="宋体"/>
              </w:rPr>
              <w:t>1</w:t>
            </w:r>
            <w:r>
              <w:rPr>
                <w:rFonts w:hint="eastAsia" w:ascii="宋体" w:hAnsi="宋体" w:eastAsia="宋体"/>
              </w:rPr>
              <w:t>、建筑施工特种作业人员：依据浙建建（</w:t>
            </w:r>
            <w:r>
              <w:rPr>
                <w:rFonts w:ascii="宋体" w:hAnsi="宋体" w:eastAsia="宋体"/>
              </w:rPr>
              <w:t>2009</w:t>
            </w:r>
            <w:r>
              <w:rPr>
                <w:rFonts w:hint="eastAsia" w:ascii="宋体" w:hAnsi="宋体" w:eastAsia="宋体"/>
              </w:rPr>
              <w:t>）</w:t>
            </w:r>
            <w:r>
              <w:rPr>
                <w:rFonts w:ascii="宋体" w:hAnsi="宋体" w:eastAsia="宋体"/>
              </w:rPr>
              <w:t>25</w:t>
            </w:r>
            <w:r>
              <w:rPr>
                <w:rFonts w:hint="eastAsia" w:ascii="宋体" w:hAnsi="宋体" w:eastAsia="宋体"/>
              </w:rPr>
              <w:t>号文件规定；</w:t>
            </w:r>
            <w:r>
              <w:rPr>
                <w:rFonts w:ascii="宋体" w:hAnsi="宋体" w:eastAsia="宋体"/>
              </w:rPr>
              <w:t>2</w:t>
            </w:r>
            <w:r>
              <w:rPr>
                <w:rFonts w:hint="eastAsia" w:ascii="宋体" w:hAnsi="宋体" w:eastAsia="宋体"/>
              </w:rPr>
              <w:t>、分包单位特种作业人员证书一并登记；</w:t>
            </w:r>
            <w:r>
              <w:rPr>
                <w:rFonts w:ascii="宋体" w:hAnsi="宋体" w:eastAsia="宋体"/>
              </w:rPr>
              <w:t>3</w:t>
            </w:r>
            <w:r>
              <w:rPr>
                <w:rFonts w:hint="eastAsia" w:ascii="宋体" w:hAnsi="宋体" w:eastAsia="宋体"/>
              </w:rPr>
              <w:t>、本表在施工过程中动态管理；4、本表由工区填写，应及时登记，按月整理。</w:t>
            </w:r>
          </w:p>
        </w:tc>
      </w:tr>
    </w:tbl>
    <w:p>
      <w:pPr>
        <w:ind w:firstLine="480"/>
        <w:jc w:val="left"/>
        <w:rPr>
          <w:rFonts w:ascii="仿宋_GB2312" w:hAnsi="仿宋_GB2312" w:eastAsia="仿宋_GB2312" w:cs="仿宋_GB2312"/>
        </w:rPr>
        <w:sectPr>
          <w:pgSz w:w="16838" w:h="11906" w:orient="landscape"/>
          <w:pgMar w:top="1588" w:right="2098" w:bottom="1474" w:left="1985" w:header="851" w:footer="992" w:gutter="0"/>
          <w:cols w:space="425" w:num="1"/>
          <w:docGrid w:type="linesAndChars" w:linePitch="312" w:charSpace="0"/>
        </w:sectPr>
      </w:pPr>
    </w:p>
    <w:p>
      <w:pPr>
        <w:pStyle w:val="2"/>
        <w:rPr>
          <w:rFonts w:ascii="仿宋_GB2312" w:hAnsi="仿宋_GB2312" w:cs="仿宋_GB2312"/>
          <w:szCs w:val="32"/>
        </w:rPr>
      </w:pPr>
      <w:bookmarkStart w:id="171" w:name="_Toc16869"/>
      <w:r>
        <w:rPr>
          <w:rFonts w:hint="eastAsia" w:ascii="仿宋_GB2312" w:hAnsi="仿宋_GB2312" w:cs="仿宋_GB2312"/>
          <w:szCs w:val="32"/>
        </w:rPr>
        <w:t>二十一、特种设备安全管理制度</w:t>
      </w:r>
      <w:bookmarkEnd w:id="171"/>
    </w:p>
    <w:p>
      <w:pPr>
        <w:pStyle w:val="3"/>
        <w:widowControl w:val="0"/>
      </w:pPr>
      <w:r>
        <w:rPr>
          <w:rFonts w:hint="eastAsia"/>
        </w:rPr>
        <w:t>第一章 总则</w:t>
      </w:r>
    </w:p>
    <w:p>
      <w:pPr>
        <w:widowControl w:val="0"/>
        <w:ind w:firstLine="482"/>
      </w:pPr>
      <w:r>
        <w:rPr>
          <w:rFonts w:hint="eastAsia"/>
          <w:b/>
        </w:rPr>
        <w:t>第一条</w:t>
      </w:r>
      <w:r>
        <w:rPr>
          <w:rFonts w:hint="eastAsia"/>
        </w:rPr>
        <w:t xml:space="preserve"> 根据国务院《中华人民共和国特种设备安全法》、《安全生产许可证条例》；《特种设备安全监察条例》；《建筑起重机械备案登记办法》（建质[2008</w:t>
      </w:r>
      <w:r>
        <w:t>]</w:t>
      </w:r>
      <w:r>
        <w:rPr>
          <w:rFonts w:hint="eastAsia"/>
        </w:rPr>
        <w:t>76号）；</w:t>
      </w:r>
      <w:r>
        <w:t>《浙江省特种设备安全管理条例》</w:t>
      </w:r>
      <w:r>
        <w:rPr>
          <w:rFonts w:hint="eastAsia"/>
        </w:rPr>
        <w:t>等有关法律、法规、规章，为切实加强对台州</w:t>
      </w:r>
      <w:r>
        <w:t>市域铁路</w:t>
      </w:r>
      <w:r>
        <w:rPr>
          <w:rFonts w:hint="eastAsia"/>
        </w:rPr>
        <w:t>S1线PPP项目工程总承包项目部（以下简称“总承包项目部”）特种设备安全管理，预防和减少事故发生，特制定本制度。</w:t>
      </w:r>
    </w:p>
    <w:p>
      <w:pPr>
        <w:widowControl w:val="0"/>
        <w:ind w:firstLine="482"/>
      </w:pPr>
      <w:r>
        <w:rPr>
          <w:rFonts w:hint="eastAsia"/>
          <w:b/>
        </w:rPr>
        <w:t xml:space="preserve">第二条 </w:t>
      </w:r>
      <w:r>
        <w:rPr>
          <w:rFonts w:hint="eastAsia"/>
        </w:rPr>
        <w:t>本制度适用总承包项目部所属各</w:t>
      </w:r>
      <w:r>
        <w:t>工区</w:t>
      </w:r>
      <w:r>
        <w:rPr>
          <w:rFonts w:hint="eastAsia"/>
        </w:rPr>
        <w:t>，特种设备的安全管理应符合本制度要求，当浙江省、</w:t>
      </w:r>
      <w:r>
        <w:t>台州市</w:t>
      </w:r>
      <w:r>
        <w:rPr>
          <w:rFonts w:hint="eastAsia"/>
        </w:rPr>
        <w:t>地方、行业主管部门另有规定时，应同时执行。</w:t>
      </w:r>
    </w:p>
    <w:p>
      <w:pPr>
        <w:pStyle w:val="3"/>
        <w:widowControl w:val="0"/>
      </w:pPr>
      <w:r>
        <w:rPr>
          <w:rFonts w:hint="eastAsia"/>
        </w:rPr>
        <w:t>第二章 基本规定</w:t>
      </w:r>
    </w:p>
    <w:p>
      <w:pPr>
        <w:widowControl w:val="0"/>
        <w:ind w:firstLine="482"/>
      </w:pPr>
      <w:r>
        <w:rPr>
          <w:rFonts w:hint="eastAsia"/>
          <w:b/>
        </w:rPr>
        <w:t xml:space="preserve">第三条 </w:t>
      </w:r>
      <w:r>
        <w:rPr>
          <w:rFonts w:hint="eastAsia"/>
        </w:rPr>
        <w:t>本制度所称特种设备包括压力容器</w:t>
      </w:r>
      <w:r>
        <w:t>、</w:t>
      </w:r>
      <w:r>
        <w:rPr>
          <w:rFonts w:hint="eastAsia"/>
        </w:rPr>
        <w:t>塔吊、</w:t>
      </w:r>
      <w:r>
        <w:fldChar w:fldCharType="begin"/>
      </w:r>
      <w:r>
        <w:instrText xml:space="preserve"> HYPERLINK "https://www.baidu.com/s?wd=%E6%96%BD%E5%B7%A5%E5%8D%87%E9%99%8D%E6%9C%BA&amp;tn=SE_PcZhidaonwhc_ngpagmjz&amp;rsv_dl=gh_pc_zhidao" \t "_blank" </w:instrText>
      </w:r>
      <w:r>
        <w:fldChar w:fldCharType="separate"/>
      </w:r>
      <w:r>
        <w:rPr>
          <w:rFonts w:hint="eastAsia"/>
        </w:rPr>
        <w:t>施工升降机</w:t>
      </w:r>
      <w:r>
        <w:rPr>
          <w:rFonts w:hint="eastAsia"/>
        </w:rPr>
        <w:fldChar w:fldCharType="end"/>
      </w:r>
      <w:r>
        <w:rPr>
          <w:rFonts w:hint="eastAsia"/>
        </w:rPr>
        <w:t>、</w:t>
      </w:r>
      <w:r>
        <w:fldChar w:fldCharType="begin"/>
      </w:r>
      <w:r>
        <w:instrText xml:space="preserve"> HYPERLINK "https://www.baidu.com/s?wd=%E7%89%A9%E6%96%99%E6%8F%90%E5%8D%87%E6%9C%BA&amp;tn=SE_PcZhidaonwhc_ngpagmjz&amp;rsv_dl=gh_pc_zhidao" \t "_blank" </w:instrText>
      </w:r>
      <w:r>
        <w:fldChar w:fldCharType="separate"/>
      </w:r>
      <w:r>
        <w:rPr>
          <w:rFonts w:hint="eastAsia"/>
        </w:rPr>
        <w:t>物料提升机</w:t>
      </w:r>
      <w:r>
        <w:rPr>
          <w:rFonts w:hint="eastAsia"/>
        </w:rPr>
        <w:fldChar w:fldCharType="end"/>
      </w:r>
      <w:r>
        <w:rPr>
          <w:rFonts w:hint="eastAsia"/>
        </w:rPr>
        <w:t>、起重吊装设备、施工现场专用机动车辆等。</w:t>
      </w:r>
    </w:p>
    <w:p>
      <w:pPr>
        <w:widowControl w:val="0"/>
        <w:ind w:firstLine="482"/>
      </w:pPr>
      <w:r>
        <w:rPr>
          <w:rFonts w:hint="eastAsia"/>
          <w:b/>
        </w:rPr>
        <w:t xml:space="preserve">第四条 </w:t>
      </w:r>
      <w:r>
        <w:rPr>
          <w:rFonts w:hint="eastAsia"/>
        </w:rPr>
        <w:t>特种设备安全工作应当坚持“安全第一、预防为主、节能环保、综合治理”的原则。特种设备使用、检验、检测管理应当遵守有关特种设备安全技术规范及相关标准。</w:t>
      </w:r>
    </w:p>
    <w:p>
      <w:pPr>
        <w:widowControl w:val="0"/>
        <w:ind w:firstLine="482"/>
      </w:pPr>
      <w:r>
        <w:rPr>
          <w:rFonts w:hint="eastAsia"/>
          <w:b/>
        </w:rPr>
        <w:t xml:space="preserve">第五条 </w:t>
      </w:r>
      <w:r>
        <w:rPr>
          <w:rFonts w:hint="eastAsia"/>
        </w:rPr>
        <w:t>各工区应建立</w:t>
      </w:r>
      <w:r>
        <w:t>特种设备</w:t>
      </w:r>
      <w:r>
        <w:rPr>
          <w:rFonts w:hint="eastAsia"/>
        </w:rPr>
        <w:t>安全技术档案，在施工过程中实行动态管理，根据特种设备变化情况及时调整、更新。</w:t>
      </w:r>
    </w:p>
    <w:p>
      <w:pPr>
        <w:widowControl w:val="0"/>
        <w:ind w:firstLine="482"/>
      </w:pPr>
      <w:r>
        <w:rPr>
          <w:rFonts w:hint="eastAsia"/>
          <w:b/>
        </w:rPr>
        <w:t xml:space="preserve">第六条 </w:t>
      </w:r>
      <w:r>
        <w:rPr>
          <w:rFonts w:hint="eastAsia"/>
        </w:rPr>
        <w:t>工区项目部及其主要负责人对其使用的特种设备安全负责。工区项目部应当按照国家有关规定配备特种设备安全管理人员和作业人员，并对其进行必要的安全教育和技能培训。</w:t>
      </w:r>
    </w:p>
    <w:p>
      <w:pPr>
        <w:widowControl w:val="0"/>
        <w:ind w:firstLine="482"/>
      </w:pPr>
      <w:r>
        <w:rPr>
          <w:rFonts w:hint="eastAsia"/>
          <w:b/>
        </w:rPr>
        <w:t xml:space="preserve">第七条 </w:t>
      </w:r>
      <w:r>
        <w:rPr>
          <w:rFonts w:hint="eastAsia"/>
        </w:rPr>
        <w:t>特种设备安全管理人员和作业人员应当按照国家有关规定取得相应资格，方可从事相关工作。特种设备安全管理人员和作业人员应当严格执行安全技术规范和管理制度，保证特种设备安全。</w:t>
      </w:r>
    </w:p>
    <w:p>
      <w:pPr>
        <w:widowControl w:val="0"/>
        <w:ind w:firstLine="482"/>
      </w:pPr>
      <w:r>
        <w:rPr>
          <w:rFonts w:hint="eastAsia"/>
          <w:b/>
        </w:rPr>
        <w:t xml:space="preserve">第八条 </w:t>
      </w:r>
      <w:r>
        <w:rPr>
          <w:rFonts w:hint="eastAsia"/>
        </w:rPr>
        <w:t>工区项目部对其使用的特种设备应当进行自行检测和维护保养，对国家规定实行检验的特种设备应当及时申报并接受检验。</w:t>
      </w:r>
    </w:p>
    <w:p>
      <w:pPr>
        <w:pStyle w:val="3"/>
        <w:widowControl w:val="0"/>
      </w:pPr>
      <w:r>
        <w:rPr>
          <w:rFonts w:hint="eastAsia"/>
        </w:rPr>
        <w:t>第三章 职责</w:t>
      </w:r>
    </w:p>
    <w:p>
      <w:pPr>
        <w:widowControl w:val="0"/>
        <w:ind w:firstLine="482"/>
      </w:pPr>
      <w:r>
        <w:rPr>
          <w:rFonts w:hint="eastAsia"/>
          <w:b/>
        </w:rPr>
        <w:t xml:space="preserve">第九条 </w:t>
      </w:r>
      <w:r>
        <w:rPr>
          <w:rFonts w:hint="eastAsia"/>
        </w:rPr>
        <w:t>总承包项目部</w:t>
      </w:r>
    </w:p>
    <w:p>
      <w:pPr>
        <w:widowControl w:val="0"/>
        <w:ind w:firstLine="480"/>
      </w:pPr>
      <w:r>
        <w:rPr>
          <w:rFonts w:hint="eastAsia"/>
        </w:rPr>
        <w:t>（一）主要负责人对各工区特种设备的安全和节能全面负责，</w:t>
      </w:r>
      <w:r>
        <w:t>并按要求</w:t>
      </w:r>
      <w:r>
        <w:rPr>
          <w:rFonts w:hint="eastAsia"/>
        </w:rPr>
        <w:t>建立健全特种设备安全、节能管理制度和岗位安全、节能责任制度；</w:t>
      </w:r>
    </w:p>
    <w:p>
      <w:pPr>
        <w:widowControl w:val="0"/>
        <w:ind w:firstLine="480"/>
      </w:pPr>
      <w:r>
        <w:rPr>
          <w:rFonts w:hint="eastAsia"/>
        </w:rPr>
        <w:t>（二）每月对特种设备资料档案和现场安全管理情况进行监督检查，</w:t>
      </w:r>
      <w:r>
        <w:t>并形成检查记录</w:t>
      </w:r>
      <w:r>
        <w:rPr>
          <w:rFonts w:hint="eastAsia"/>
        </w:rPr>
        <w:t>。</w:t>
      </w:r>
    </w:p>
    <w:p>
      <w:pPr>
        <w:widowControl w:val="0"/>
        <w:ind w:firstLine="480"/>
      </w:pPr>
      <w:r>
        <w:rPr>
          <w:rFonts w:hint="eastAsia"/>
        </w:rPr>
        <w:t>（三）发现特种设备管理有下列情况的，应立即下发通知，</w:t>
      </w:r>
      <w:r>
        <w:t>限期整改</w:t>
      </w:r>
      <w:r>
        <w:rPr>
          <w:rFonts w:hint="eastAsia"/>
        </w:rPr>
        <w:t>。</w:t>
      </w:r>
    </w:p>
    <w:p>
      <w:pPr>
        <w:widowControl w:val="0"/>
        <w:ind w:firstLine="480"/>
      </w:pPr>
      <w:r>
        <w:rPr>
          <w:rFonts w:hint="eastAsia"/>
        </w:rPr>
        <w:t>a、未按要求建立特种设备安全技术档案</w:t>
      </w:r>
      <w:r>
        <w:t>的</w:t>
      </w:r>
      <w:r>
        <w:rPr>
          <w:rFonts w:hint="eastAsia"/>
        </w:rPr>
        <w:t>；</w:t>
      </w:r>
    </w:p>
    <w:p>
      <w:pPr>
        <w:widowControl w:val="0"/>
        <w:ind w:firstLine="480"/>
      </w:pPr>
      <w:r>
        <w:rPr>
          <w:rFonts w:hint="eastAsia"/>
        </w:rPr>
        <w:t>b、无使用登记证或者检验、检测、维修文件记录，或者文件存在伪造、涂改、转借、转让现象的；</w:t>
      </w:r>
    </w:p>
    <w:p>
      <w:pPr>
        <w:widowControl w:val="0"/>
        <w:ind w:firstLine="480"/>
      </w:pPr>
      <w:r>
        <w:rPr>
          <w:rFonts w:hint="eastAsia"/>
        </w:rPr>
        <w:t>c、未设置起重机械设备的专职安全管理人员；</w:t>
      </w:r>
    </w:p>
    <w:p>
      <w:pPr>
        <w:widowControl w:val="0"/>
        <w:ind w:firstLine="480"/>
      </w:pPr>
      <w:r>
        <w:rPr>
          <w:rFonts w:hint="eastAsia"/>
        </w:rPr>
        <w:t>d、未在特种设备操作危险区域外悬挂安全警示标志并建立场所安全制度；</w:t>
      </w:r>
    </w:p>
    <w:p>
      <w:pPr>
        <w:widowControl w:val="0"/>
        <w:ind w:firstLine="480"/>
      </w:pPr>
      <w:r>
        <w:rPr>
          <w:rFonts w:hint="eastAsia"/>
        </w:rPr>
        <w:t>e、擅自违章作业的；</w:t>
      </w:r>
    </w:p>
    <w:p>
      <w:pPr>
        <w:widowControl w:val="0"/>
        <w:ind w:firstLine="480"/>
      </w:pPr>
      <w:r>
        <w:rPr>
          <w:rFonts w:hint="eastAsia"/>
        </w:rPr>
        <w:t>f、对检查人员提出的整改要求不认真履行整改义务的；</w:t>
      </w:r>
    </w:p>
    <w:p>
      <w:pPr>
        <w:widowControl w:val="0"/>
        <w:ind w:firstLine="480"/>
      </w:pPr>
      <w:r>
        <w:rPr>
          <w:rFonts w:hint="eastAsia"/>
        </w:rPr>
        <w:t>g、有其他违法违规行为的。</w:t>
      </w:r>
    </w:p>
    <w:p>
      <w:pPr>
        <w:widowControl w:val="0"/>
        <w:ind w:firstLine="480"/>
      </w:pPr>
      <w:r>
        <w:rPr>
          <w:rFonts w:hint="eastAsia"/>
        </w:rPr>
        <w:t>（四）监督各工区项目部</w:t>
      </w:r>
      <w:r>
        <w:t>履行</w:t>
      </w:r>
      <w:r>
        <w:rPr>
          <w:rFonts w:hint="eastAsia"/>
        </w:rPr>
        <w:t>法律规定的</w:t>
      </w:r>
      <w:r>
        <w:t>职责</w:t>
      </w:r>
      <w:r>
        <w:rPr>
          <w:rFonts w:hint="eastAsia"/>
        </w:rPr>
        <w:t>。</w:t>
      </w:r>
    </w:p>
    <w:p>
      <w:pPr>
        <w:widowControl w:val="0"/>
        <w:ind w:firstLine="482"/>
      </w:pPr>
      <w:r>
        <w:rPr>
          <w:rFonts w:hint="eastAsia"/>
          <w:b/>
        </w:rPr>
        <w:t xml:space="preserve">第十条 </w:t>
      </w:r>
      <w:r>
        <w:rPr>
          <w:rFonts w:hint="eastAsia"/>
        </w:rPr>
        <w:t>工区项目部</w:t>
      </w:r>
    </w:p>
    <w:p>
      <w:pPr>
        <w:widowControl w:val="0"/>
        <w:ind w:firstLine="480"/>
      </w:pPr>
      <w:r>
        <w:rPr>
          <w:rFonts w:hint="eastAsia"/>
        </w:rPr>
        <w:t>（一）根据特种设备说明书要求，制定并落实本工区特种设备安全操作规程及注意事项。</w:t>
      </w:r>
    </w:p>
    <w:p>
      <w:pPr>
        <w:widowControl w:val="0"/>
        <w:ind w:firstLine="480"/>
      </w:pPr>
      <w:r>
        <w:rPr>
          <w:rFonts w:hint="eastAsia"/>
        </w:rPr>
        <w:t>（二）严格按照有关法律、规范规定配备特种设备安全管理人员和作业人员，并对其进行必要的安全教育和技能培训。</w:t>
      </w:r>
    </w:p>
    <w:p>
      <w:pPr>
        <w:widowControl w:val="0"/>
        <w:ind w:firstLine="480"/>
      </w:pPr>
      <w:r>
        <w:rPr>
          <w:rFonts w:hint="eastAsia"/>
        </w:rPr>
        <w:t>（三）应当定期对特种设备进行自行检测和维护保养，对有关法律、规范规定实行检验的特种设备应当及时申报并接受检验，并且保存相关检测和维护保养记录文件。</w:t>
      </w:r>
    </w:p>
    <w:p>
      <w:pPr>
        <w:widowControl w:val="0"/>
        <w:ind w:firstLine="480"/>
      </w:pPr>
      <w:r>
        <w:rPr>
          <w:rFonts w:hint="eastAsia"/>
        </w:rPr>
        <w:t>（四）在特种设备操作危险区域外悬挂安全警示标志并建立场所安全制度。</w:t>
      </w:r>
    </w:p>
    <w:p>
      <w:pPr>
        <w:widowControl w:val="0"/>
        <w:ind w:firstLine="480"/>
      </w:pPr>
      <w:r>
        <w:rPr>
          <w:rFonts w:hint="eastAsia"/>
        </w:rPr>
        <w:t>（五）规定所有电器设备必须接地或接零保护；有安全保护装置和安全指示装置的设备，必须定期按有关规定检查、调整。</w:t>
      </w:r>
    </w:p>
    <w:p>
      <w:pPr>
        <w:widowControl w:val="0"/>
        <w:ind w:firstLine="480"/>
      </w:pPr>
      <w:r>
        <w:rPr>
          <w:rFonts w:hint="eastAsia"/>
        </w:rPr>
        <w:t>（六）负责做好使用、检验、检测的组织工作并建立《施工现场主要机械设备一览表》（见附件1）、《特种设备使用管理台账》（见附件2）、《建筑起重机械备案登记汇总表》（见附件3）等</w:t>
      </w:r>
      <w:r>
        <w:t>相关资料</w:t>
      </w:r>
      <w:r>
        <w:rPr>
          <w:rFonts w:hint="eastAsia"/>
        </w:rPr>
        <w:t>。</w:t>
      </w:r>
    </w:p>
    <w:p>
      <w:pPr>
        <w:pStyle w:val="3"/>
        <w:widowControl w:val="0"/>
      </w:pPr>
      <w:r>
        <w:rPr>
          <w:rFonts w:hint="eastAsia"/>
        </w:rPr>
        <w:t>第四章 使用、检验、检测</w:t>
      </w:r>
    </w:p>
    <w:p>
      <w:pPr>
        <w:widowControl w:val="0"/>
        <w:ind w:firstLine="482"/>
      </w:pPr>
      <w:r>
        <w:rPr>
          <w:rFonts w:hint="eastAsia"/>
          <w:b/>
        </w:rPr>
        <w:t xml:space="preserve">第十一条 </w:t>
      </w:r>
      <w:r>
        <w:rPr>
          <w:rFonts w:hint="eastAsia"/>
        </w:rPr>
        <w:t>特种设备使用单位应当使用取得许可生产并经检验合格的特种设备。禁止使用国家明令淘汰和已经报废的特种设备。</w:t>
      </w:r>
    </w:p>
    <w:p>
      <w:pPr>
        <w:widowControl w:val="0"/>
        <w:ind w:firstLine="482"/>
      </w:pPr>
      <w:r>
        <w:rPr>
          <w:rFonts w:hint="eastAsia"/>
          <w:b/>
        </w:rPr>
        <w:t xml:space="preserve">第十二条 </w:t>
      </w:r>
      <w:r>
        <w:rPr>
          <w:rFonts w:hint="eastAsia"/>
        </w:rPr>
        <w:t>特种设备使用单位应当在特种设备投入使用前或者投入使用后三十日内，向负责特种设备安全监督管理的部门办理使用登记，取得使用登记证书。登记标志应当置于该特种设备的显著位置。</w:t>
      </w:r>
    </w:p>
    <w:p>
      <w:pPr>
        <w:widowControl w:val="0"/>
        <w:ind w:firstLine="482"/>
      </w:pPr>
      <w:r>
        <w:rPr>
          <w:rFonts w:hint="eastAsia"/>
          <w:b/>
        </w:rPr>
        <w:t xml:space="preserve">第十三条 </w:t>
      </w:r>
      <w:r>
        <w:rPr>
          <w:rFonts w:hint="eastAsia"/>
        </w:rPr>
        <w:t>建筑起重机械应</w:t>
      </w:r>
      <w:r>
        <w:t>严格履行</w:t>
      </w:r>
      <w:r>
        <w:rPr>
          <w:rFonts w:hint="eastAsia"/>
        </w:rPr>
        <w:t>备案、安装（拆卸）告知和使用登记程序。产权单位在建筑起重机械首次出租或安装前，应当向本单位工商注册所在地县级以上地方人民政府建设主管部门办理备案，</w:t>
      </w:r>
      <w:r>
        <w:t>取得</w:t>
      </w:r>
      <w:r>
        <w:rPr>
          <w:rFonts w:hint="eastAsia"/>
        </w:rPr>
        <w:t>建筑起重机械备案证明;安装单位应当在建筑起重机械安装（拆卸）前2个工作日内通过书面形式、传真或者计算机信息系统告知工程所在地县级以上地方人民政府建设主管部门，办理建筑起重机械安装（拆卸）告知手续，同时按规定提交经施工总承包单位、监理单位审核合格的有关资料；建筑起重机械使用单位在建筑起重机械安装验收合格之日起30日内，向工程所在地县级以上地方人民政府建设主管部门办理使用登记，</w:t>
      </w:r>
      <w:r>
        <w:t>取得</w:t>
      </w:r>
      <w:r>
        <w:rPr>
          <w:rFonts w:hint="eastAsia"/>
        </w:rPr>
        <w:t>建筑起重机械登记证明。</w:t>
      </w:r>
    </w:p>
    <w:p>
      <w:pPr>
        <w:widowControl w:val="0"/>
        <w:ind w:firstLine="482"/>
      </w:pPr>
      <w:r>
        <w:rPr>
          <w:rFonts w:hint="eastAsia"/>
          <w:b/>
        </w:rPr>
        <w:t xml:space="preserve">第十四条 </w:t>
      </w:r>
      <w:r>
        <w:rPr>
          <w:rFonts w:hint="eastAsia"/>
        </w:rPr>
        <w:t>特种设备使用单位应当建立岗位责任、隐患治理、应急救援等安全管理制度，制定操作规程，保证特种设备安全运行。</w:t>
      </w:r>
    </w:p>
    <w:p>
      <w:pPr>
        <w:widowControl w:val="0"/>
        <w:ind w:firstLine="482"/>
      </w:pPr>
      <w:r>
        <w:rPr>
          <w:rFonts w:hint="eastAsia"/>
          <w:b/>
        </w:rPr>
        <w:t xml:space="preserve">第十五条 </w:t>
      </w:r>
      <w:r>
        <w:rPr>
          <w:rFonts w:hint="eastAsia"/>
        </w:rPr>
        <w:t>特种设备使用单位应当建立特种设备安全技术档案。安全技术档案应当包括以下内容：</w:t>
      </w:r>
    </w:p>
    <w:p>
      <w:pPr>
        <w:widowControl w:val="0"/>
        <w:ind w:firstLine="480"/>
      </w:pPr>
      <w:r>
        <w:rPr>
          <w:rFonts w:hint="eastAsia"/>
        </w:rPr>
        <w:t>（一）特种设备的设计文件、产品质量合格证明、安装及使用维护保养说明、监督检验证明等相关技术资料和文件；</w:t>
      </w:r>
    </w:p>
    <w:p>
      <w:pPr>
        <w:widowControl w:val="0"/>
        <w:ind w:firstLine="480"/>
      </w:pPr>
      <w:r>
        <w:rPr>
          <w:rFonts w:hint="eastAsia"/>
        </w:rPr>
        <w:t>（二）特种设备的定期检验和定期自行检查记录；</w:t>
      </w:r>
    </w:p>
    <w:p>
      <w:pPr>
        <w:widowControl w:val="0"/>
        <w:ind w:firstLine="480"/>
      </w:pPr>
      <w:r>
        <w:rPr>
          <w:rFonts w:hint="eastAsia"/>
        </w:rPr>
        <w:t>（三）特种设备的日常使用状况记录；</w:t>
      </w:r>
    </w:p>
    <w:p>
      <w:pPr>
        <w:widowControl w:val="0"/>
        <w:ind w:firstLine="480"/>
      </w:pPr>
      <w:r>
        <w:rPr>
          <w:rFonts w:hint="eastAsia"/>
        </w:rPr>
        <w:t>（四）特种设备及其附属仪器仪表的维护保养记录；</w:t>
      </w:r>
    </w:p>
    <w:p>
      <w:pPr>
        <w:widowControl w:val="0"/>
        <w:ind w:firstLine="480"/>
      </w:pPr>
      <w:r>
        <w:rPr>
          <w:rFonts w:hint="eastAsia"/>
        </w:rPr>
        <w:t>（五）特种设备的运行故障和事故记录。</w:t>
      </w:r>
    </w:p>
    <w:p>
      <w:pPr>
        <w:widowControl w:val="0"/>
        <w:ind w:firstLine="482"/>
      </w:pPr>
      <w:r>
        <w:rPr>
          <w:rFonts w:hint="eastAsia"/>
          <w:b/>
        </w:rPr>
        <w:t xml:space="preserve">第十六条 </w:t>
      </w:r>
      <w:r>
        <w:rPr>
          <w:rFonts w:hint="eastAsia"/>
        </w:rPr>
        <w:t>特种设备的使用应当具有规定的安全距离、安全防护措施。与特种设备安全相关的建筑物、附属设施，应当符合有关法律、行政法规的规定。</w:t>
      </w:r>
    </w:p>
    <w:p>
      <w:pPr>
        <w:widowControl w:val="0"/>
        <w:ind w:firstLine="482"/>
      </w:pPr>
      <w:r>
        <w:rPr>
          <w:rFonts w:hint="eastAsia"/>
          <w:b/>
        </w:rPr>
        <w:t xml:space="preserve">第十七条 </w:t>
      </w:r>
      <w:r>
        <w:rPr>
          <w:rFonts w:hint="eastAsia"/>
        </w:rPr>
        <w:t>特种设备使用单位应当对其使用的特种设备进行经常性维护保养和定期自行检查，并作出记录。特种设备使用单位应当对其使用的特种设备的安全附件、安全保护装置进行定期校验、检修，并作出记录。</w:t>
      </w:r>
    </w:p>
    <w:p>
      <w:pPr>
        <w:widowControl w:val="0"/>
        <w:ind w:firstLine="482"/>
      </w:pPr>
      <w:r>
        <w:rPr>
          <w:rFonts w:hint="eastAsia"/>
          <w:b/>
        </w:rPr>
        <w:t xml:space="preserve">第十八条 </w:t>
      </w:r>
      <w:r>
        <w:rPr>
          <w:rFonts w:hint="eastAsia"/>
        </w:rPr>
        <w:t>特种设备使用单位应当按照安全技术规范的要求，在检验合格有效期届满前一个月向特种设备检验机构提出定期检验要求。特种设备检验机构接到定期检验要求后，应当按照安全技术规范的要求及时进行安全性能检验。特种设备使用单位应当将定期检验标志置于该特种设备的显著位置。未经定期检验或者检验不合格的特种设备，不得继续使用。</w:t>
      </w:r>
    </w:p>
    <w:p>
      <w:pPr>
        <w:widowControl w:val="0"/>
        <w:ind w:firstLine="482"/>
      </w:pPr>
      <w:r>
        <w:rPr>
          <w:rFonts w:hint="eastAsia"/>
          <w:b/>
        </w:rPr>
        <w:t xml:space="preserve">第十九条 </w:t>
      </w:r>
      <w:r>
        <w:rPr>
          <w:rFonts w:hint="eastAsia"/>
        </w:rPr>
        <w:t>特种设备安全管理人员应当对特种设备使用状况进行经常性检查，发现问题应当立即处理；情况紧急时，可以决定停止使用特种设备并及时报告本单位有关负责人。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pPr>
        <w:widowControl w:val="0"/>
        <w:ind w:firstLine="482"/>
      </w:pPr>
      <w:r>
        <w:rPr>
          <w:rFonts w:hint="eastAsia"/>
          <w:b/>
        </w:rPr>
        <w:t xml:space="preserve">第二十条 </w:t>
      </w:r>
      <w:r>
        <w:rPr>
          <w:rFonts w:hint="eastAsia"/>
        </w:rPr>
        <w:t>特种设备出现故障或者发生异常情况，特种设备使用单位应当对其进行全面检查，消除事故隐患，方可继续使用。</w:t>
      </w:r>
    </w:p>
    <w:p>
      <w:pPr>
        <w:widowControl w:val="0"/>
        <w:ind w:firstLine="482"/>
      </w:pPr>
      <w:r>
        <w:rPr>
          <w:rFonts w:hint="eastAsia"/>
          <w:b/>
        </w:rPr>
        <w:t xml:space="preserve">第二十一条 </w:t>
      </w:r>
      <w:r>
        <w:rPr>
          <w:rFonts w:hint="eastAsia"/>
        </w:rPr>
        <w:t>各工区履行法定的特种设备检验、检测义务时，有权自主选择委托有资质的特种设备检验、检测机构。各工区应当在十日内将特种设备法定的检验、检测结果和鉴定结论，报县(市、区)特种设备安全监督管理部门备案。</w:t>
      </w:r>
    </w:p>
    <w:p>
      <w:pPr>
        <w:widowControl w:val="0"/>
        <w:ind w:firstLine="482"/>
      </w:pPr>
      <w:r>
        <w:rPr>
          <w:rFonts w:hint="eastAsia"/>
          <w:b/>
        </w:rPr>
        <w:t xml:space="preserve">第二十二条 </w:t>
      </w:r>
      <w:r>
        <w:rPr>
          <w:rFonts w:hint="eastAsia"/>
        </w:rPr>
        <w:t>特种设备启用前必须验收、总承包项目部监督检查相关方必须依照编制的施工方案进行施工，核对基础处理，安装要求，施工位置及安全、环境影响达标等情况。</w:t>
      </w:r>
    </w:p>
    <w:p>
      <w:pPr>
        <w:pStyle w:val="3"/>
        <w:widowControl w:val="0"/>
      </w:pPr>
      <w:r>
        <w:rPr>
          <w:rFonts w:hint="eastAsia"/>
        </w:rPr>
        <w:t>第五章 罚则</w:t>
      </w:r>
    </w:p>
    <w:p>
      <w:pPr>
        <w:widowControl w:val="0"/>
        <w:ind w:firstLine="482"/>
      </w:pPr>
      <w:r>
        <w:rPr>
          <w:rFonts w:hint="eastAsia"/>
          <w:b/>
        </w:rPr>
        <w:t xml:space="preserve">第二十三条 </w:t>
      </w:r>
      <w:r>
        <w:rPr>
          <w:rFonts w:hint="eastAsia"/>
        </w:rPr>
        <w:t>特种设备安全管理过程出现违规而造成经营生产损失时，</w:t>
      </w:r>
      <w:r>
        <w:t>按《浙江省特种设备安全管理条例》</w:t>
      </w:r>
      <w:r>
        <w:rPr>
          <w:rFonts w:hint="eastAsia"/>
        </w:rPr>
        <w:t>、</w:t>
      </w:r>
      <w:r>
        <w:t>《</w:t>
      </w:r>
      <w:r>
        <w:rPr>
          <w:rFonts w:hint="eastAsia"/>
        </w:rPr>
        <w:t>安全质量文明施工违约处罚实施细则</w:t>
      </w:r>
      <w:r>
        <w:t>》</w:t>
      </w:r>
      <w:r>
        <w:rPr>
          <w:rFonts w:hint="eastAsia"/>
        </w:rPr>
        <w:t>有关规定</w:t>
      </w:r>
      <w:r>
        <w:t>进行</w:t>
      </w:r>
      <w:r>
        <w:rPr>
          <w:rFonts w:hint="eastAsia"/>
        </w:rPr>
        <w:t>责任追究和</w:t>
      </w:r>
      <w:r>
        <w:t>处罚</w:t>
      </w:r>
      <w:r>
        <w:rPr>
          <w:rFonts w:hint="eastAsia"/>
        </w:rPr>
        <w:t>。</w:t>
      </w:r>
    </w:p>
    <w:p>
      <w:pPr>
        <w:widowControl w:val="0"/>
        <w:ind w:firstLine="482"/>
      </w:pPr>
      <w:r>
        <w:rPr>
          <w:rFonts w:hint="eastAsia"/>
          <w:b/>
        </w:rPr>
        <w:t xml:space="preserve">第二十四条 </w:t>
      </w:r>
      <w:r>
        <w:rPr>
          <w:rFonts w:hint="eastAsia"/>
        </w:rPr>
        <w:t>工区因特种作业人员管理存在问题时，纳入工区月度</w:t>
      </w:r>
      <w:r>
        <w:t>、</w:t>
      </w:r>
      <w:r>
        <w:rPr>
          <w:rFonts w:hint="eastAsia"/>
        </w:rPr>
        <w:t>季度施工技术管理考评，同时列入总承包项目部对工区月度综合</w:t>
      </w:r>
      <w:r>
        <w:t>评比</w:t>
      </w:r>
      <w:r>
        <w:rPr>
          <w:rFonts w:hint="eastAsia"/>
        </w:rPr>
        <w:t>考核。</w:t>
      </w:r>
    </w:p>
    <w:p>
      <w:pPr>
        <w:adjustRightInd w:val="0"/>
        <w:spacing w:line="500" w:lineRule="exact"/>
        <w:ind w:firstLine="240" w:firstLineChars="100"/>
        <w:jc w:val="center"/>
        <w:textAlignment w:val="baseline"/>
        <w:rPr>
          <w:rFonts w:ascii="仿宋_GB2312" w:hAnsi="仿宋_GB2312" w:cs="仿宋_GB2312"/>
          <w:szCs w:val="32"/>
        </w:rPr>
      </w:pPr>
    </w:p>
    <w:p>
      <w:pPr>
        <w:widowControl w:val="0"/>
        <w:ind w:firstLine="482"/>
      </w:pPr>
      <w:r>
        <w:rPr>
          <w:rFonts w:hint="eastAsia"/>
          <w:b/>
          <w:bCs/>
        </w:rPr>
        <w:t>附件1：</w:t>
      </w:r>
      <w:r>
        <w:rPr>
          <w:rFonts w:hint="eastAsia"/>
        </w:rPr>
        <w:t>《施工现场主要机械设备一览表》</w:t>
      </w:r>
    </w:p>
    <w:p>
      <w:pPr>
        <w:widowControl w:val="0"/>
        <w:ind w:firstLine="482"/>
      </w:pPr>
      <w:r>
        <w:rPr>
          <w:rFonts w:hint="eastAsia"/>
          <w:b/>
          <w:bCs/>
        </w:rPr>
        <w:t>附件2：</w:t>
      </w:r>
      <w:r>
        <w:rPr>
          <w:rFonts w:hint="eastAsia"/>
        </w:rPr>
        <w:t>《特种设备使用管理台账》</w:t>
      </w:r>
    </w:p>
    <w:p>
      <w:pPr>
        <w:widowControl w:val="0"/>
        <w:ind w:firstLine="482"/>
      </w:pPr>
      <w:r>
        <w:rPr>
          <w:rFonts w:hint="eastAsia"/>
          <w:b/>
          <w:bCs/>
        </w:rPr>
        <w:t>附件3：</w:t>
      </w:r>
      <w:r>
        <w:rPr>
          <w:rFonts w:hint="eastAsia"/>
        </w:rPr>
        <w:t>《建筑起重机械备案登记汇总表》</w:t>
      </w:r>
    </w:p>
    <w:p>
      <w:pPr>
        <w:adjustRightInd w:val="0"/>
        <w:spacing w:line="500" w:lineRule="exact"/>
        <w:ind w:firstLine="240" w:firstLineChars="100"/>
        <w:jc w:val="center"/>
        <w:textAlignment w:val="baseline"/>
        <w:rPr>
          <w:rFonts w:ascii="仿宋_GB2312" w:hAnsi="仿宋_GB2312" w:cs="仿宋_GB2312"/>
          <w:szCs w:val="32"/>
        </w:rPr>
        <w:sectPr>
          <w:pgSz w:w="11906" w:h="16838"/>
          <w:pgMar w:top="2098" w:right="1474" w:bottom="1985" w:left="1588" w:header="851" w:footer="992" w:gutter="0"/>
          <w:cols w:space="425" w:num="1"/>
          <w:docGrid w:type="lines" w:linePitch="312" w:charSpace="0"/>
        </w:sectPr>
      </w:pPr>
    </w:p>
    <w:p>
      <w:pPr>
        <w:adjustRightInd w:val="0"/>
        <w:spacing w:line="240" w:lineRule="auto"/>
        <w:ind w:firstLine="0" w:firstLineChars="0"/>
        <w:jc w:val="left"/>
        <w:textAlignment w:val="baseline"/>
        <w:rPr>
          <w:rFonts w:ascii="仿宋_GB2312" w:hAnsi="黑体" w:eastAsia="宋体" w:cs="仿宋_GB2312"/>
        </w:rPr>
      </w:pPr>
      <w:r>
        <w:rPr>
          <w:rFonts w:hint="eastAsia" w:ascii="宋体" w:hAnsi="宋体" w:eastAsia="宋体" w:cs="Calibri"/>
          <w:b/>
          <w:bCs/>
          <w:szCs w:val="21"/>
        </w:rPr>
        <w:t>附件1</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施工现场主要机械设备一览表</w:t>
      </w:r>
    </w:p>
    <w:p>
      <w:pPr>
        <w:spacing w:after="156" w:afterLines="50"/>
        <w:ind w:firstLine="0" w:firstLineChars="0"/>
      </w:pPr>
      <w:r>
        <w:rPr>
          <w:rFonts w:hint="eastAsia"/>
        </w:rPr>
        <w:t>工程名称：</w:t>
      </w:r>
      <w:r>
        <w:rPr>
          <w:u w:val="single"/>
        </w:rPr>
        <w:t xml:space="preserve">                             </w:t>
      </w:r>
    </w:p>
    <w:tbl>
      <w:tblPr>
        <w:tblStyle w:val="22"/>
        <w:tblW w:w="130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32"/>
        <w:gridCol w:w="691"/>
        <w:gridCol w:w="1162"/>
        <w:gridCol w:w="1250"/>
        <w:gridCol w:w="2490"/>
        <w:gridCol w:w="1642"/>
        <w:gridCol w:w="1162"/>
        <w:gridCol w:w="1162"/>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spacing w:line="240" w:lineRule="auto"/>
              <w:ind w:firstLine="0" w:firstLineChars="0"/>
              <w:jc w:val="center"/>
            </w:pPr>
            <w:r>
              <w:rPr>
                <w:rFonts w:hint="eastAsia"/>
              </w:rPr>
              <w:t>序号</w:t>
            </w:r>
          </w:p>
        </w:tc>
        <w:tc>
          <w:tcPr>
            <w:tcW w:w="1632" w:type="dxa"/>
            <w:vAlign w:val="center"/>
          </w:tcPr>
          <w:p>
            <w:pPr>
              <w:spacing w:line="240" w:lineRule="auto"/>
              <w:ind w:firstLine="0" w:firstLineChars="0"/>
              <w:jc w:val="center"/>
            </w:pPr>
            <w:r>
              <w:rPr>
                <w:rFonts w:hint="eastAsia"/>
              </w:rPr>
              <w:t>机械设备名称</w:t>
            </w:r>
          </w:p>
        </w:tc>
        <w:tc>
          <w:tcPr>
            <w:tcW w:w="691" w:type="dxa"/>
            <w:vAlign w:val="center"/>
          </w:tcPr>
          <w:p>
            <w:pPr>
              <w:spacing w:line="240" w:lineRule="auto"/>
              <w:ind w:firstLine="0" w:firstLineChars="0"/>
              <w:jc w:val="center"/>
            </w:pPr>
            <w:r>
              <w:rPr>
                <w:rFonts w:hint="eastAsia"/>
              </w:rPr>
              <w:t>型号</w:t>
            </w:r>
          </w:p>
        </w:tc>
        <w:tc>
          <w:tcPr>
            <w:tcW w:w="1162" w:type="dxa"/>
            <w:vAlign w:val="center"/>
          </w:tcPr>
          <w:p>
            <w:pPr>
              <w:spacing w:line="240" w:lineRule="auto"/>
              <w:ind w:firstLine="0" w:firstLineChars="0"/>
              <w:jc w:val="center"/>
            </w:pPr>
            <w:r>
              <w:rPr>
                <w:rFonts w:hint="eastAsia"/>
              </w:rPr>
              <w:t>使用部位</w:t>
            </w:r>
          </w:p>
        </w:tc>
        <w:tc>
          <w:tcPr>
            <w:tcW w:w="1250" w:type="dxa"/>
            <w:vAlign w:val="center"/>
          </w:tcPr>
          <w:p>
            <w:pPr>
              <w:spacing w:line="240" w:lineRule="auto"/>
              <w:ind w:firstLine="0" w:firstLineChars="0"/>
              <w:jc w:val="center"/>
            </w:pPr>
            <w:r>
              <w:rPr>
                <w:rFonts w:hint="eastAsia"/>
              </w:rPr>
              <w:t>设备产权</w:t>
            </w:r>
          </w:p>
          <w:p>
            <w:pPr>
              <w:spacing w:line="240" w:lineRule="auto"/>
              <w:ind w:firstLine="0" w:firstLineChars="0"/>
              <w:jc w:val="center"/>
            </w:pPr>
            <w:r>
              <w:rPr>
                <w:rFonts w:hint="eastAsia"/>
              </w:rPr>
              <w:t>备案号</w:t>
            </w:r>
          </w:p>
        </w:tc>
        <w:tc>
          <w:tcPr>
            <w:tcW w:w="2490" w:type="dxa"/>
            <w:vAlign w:val="center"/>
          </w:tcPr>
          <w:p>
            <w:pPr>
              <w:spacing w:line="240" w:lineRule="auto"/>
              <w:ind w:firstLine="0" w:firstLineChars="0"/>
              <w:jc w:val="center"/>
            </w:pPr>
            <w:r>
              <w:rPr>
                <w:rFonts w:hint="eastAsia"/>
              </w:rPr>
              <w:t>产权单位（租赁单位）</w:t>
            </w:r>
          </w:p>
        </w:tc>
        <w:tc>
          <w:tcPr>
            <w:tcW w:w="1642" w:type="dxa"/>
            <w:vAlign w:val="center"/>
          </w:tcPr>
          <w:p>
            <w:pPr>
              <w:spacing w:line="240" w:lineRule="auto"/>
              <w:ind w:firstLine="0" w:firstLineChars="0"/>
              <w:jc w:val="center"/>
            </w:pPr>
            <w:r>
              <w:rPr>
                <w:rFonts w:hint="eastAsia"/>
              </w:rPr>
              <w:t>安（拆）单位</w:t>
            </w:r>
          </w:p>
        </w:tc>
        <w:tc>
          <w:tcPr>
            <w:tcW w:w="1162" w:type="dxa"/>
            <w:vAlign w:val="center"/>
          </w:tcPr>
          <w:p>
            <w:pPr>
              <w:spacing w:line="240" w:lineRule="auto"/>
              <w:ind w:firstLine="0" w:firstLineChars="0"/>
              <w:jc w:val="center"/>
            </w:pPr>
            <w:r>
              <w:rPr>
                <w:rFonts w:hint="eastAsia"/>
              </w:rPr>
              <w:t>使用单位</w:t>
            </w:r>
          </w:p>
        </w:tc>
        <w:tc>
          <w:tcPr>
            <w:tcW w:w="1162" w:type="dxa"/>
            <w:vAlign w:val="center"/>
          </w:tcPr>
          <w:p>
            <w:pPr>
              <w:spacing w:line="240" w:lineRule="auto"/>
              <w:ind w:firstLine="0" w:firstLineChars="0"/>
              <w:jc w:val="center"/>
            </w:pPr>
            <w:r>
              <w:rPr>
                <w:rFonts w:hint="eastAsia"/>
              </w:rPr>
              <w:t>进场日期</w:t>
            </w:r>
          </w:p>
        </w:tc>
        <w:tc>
          <w:tcPr>
            <w:tcW w:w="1162" w:type="dxa"/>
            <w:vAlign w:val="center"/>
          </w:tcPr>
          <w:p>
            <w:pPr>
              <w:spacing w:line="240" w:lineRule="auto"/>
              <w:ind w:firstLine="0" w:firstLineChars="0"/>
              <w:jc w:val="center"/>
            </w:pPr>
            <w:r>
              <w:rPr>
                <w:rFonts w:hint="eastAsia"/>
              </w:rPr>
              <w:t>退场日期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0" w:type="dxa"/>
            <w:vAlign w:val="center"/>
          </w:tcPr>
          <w:p>
            <w:pPr>
              <w:spacing w:line="240" w:lineRule="auto"/>
              <w:ind w:firstLine="0" w:firstLineChars="0"/>
              <w:jc w:val="center"/>
            </w:pPr>
          </w:p>
        </w:tc>
        <w:tc>
          <w:tcPr>
            <w:tcW w:w="1632" w:type="dxa"/>
            <w:vAlign w:val="center"/>
          </w:tcPr>
          <w:p>
            <w:pPr>
              <w:spacing w:line="240" w:lineRule="auto"/>
              <w:ind w:firstLine="0" w:firstLineChars="0"/>
              <w:jc w:val="center"/>
            </w:pPr>
          </w:p>
        </w:tc>
        <w:tc>
          <w:tcPr>
            <w:tcW w:w="691"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250" w:type="dxa"/>
            <w:vAlign w:val="center"/>
          </w:tcPr>
          <w:p>
            <w:pPr>
              <w:spacing w:line="240" w:lineRule="auto"/>
              <w:ind w:firstLine="0" w:firstLineChars="0"/>
              <w:jc w:val="center"/>
            </w:pPr>
          </w:p>
        </w:tc>
        <w:tc>
          <w:tcPr>
            <w:tcW w:w="2490" w:type="dxa"/>
            <w:vAlign w:val="center"/>
          </w:tcPr>
          <w:p>
            <w:pPr>
              <w:spacing w:line="240" w:lineRule="auto"/>
              <w:ind w:firstLine="0" w:firstLineChars="0"/>
              <w:jc w:val="center"/>
            </w:pPr>
          </w:p>
        </w:tc>
        <w:tc>
          <w:tcPr>
            <w:tcW w:w="164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0" w:type="dxa"/>
            <w:vAlign w:val="center"/>
          </w:tcPr>
          <w:p>
            <w:pPr>
              <w:spacing w:line="240" w:lineRule="auto"/>
              <w:ind w:firstLine="0" w:firstLineChars="0"/>
              <w:jc w:val="center"/>
            </w:pPr>
          </w:p>
        </w:tc>
        <w:tc>
          <w:tcPr>
            <w:tcW w:w="1632" w:type="dxa"/>
            <w:vAlign w:val="center"/>
          </w:tcPr>
          <w:p>
            <w:pPr>
              <w:spacing w:line="240" w:lineRule="auto"/>
              <w:ind w:firstLine="0" w:firstLineChars="0"/>
              <w:jc w:val="center"/>
            </w:pPr>
          </w:p>
        </w:tc>
        <w:tc>
          <w:tcPr>
            <w:tcW w:w="691"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250" w:type="dxa"/>
            <w:vAlign w:val="center"/>
          </w:tcPr>
          <w:p>
            <w:pPr>
              <w:spacing w:line="240" w:lineRule="auto"/>
              <w:ind w:firstLine="0" w:firstLineChars="0"/>
              <w:jc w:val="center"/>
            </w:pPr>
          </w:p>
        </w:tc>
        <w:tc>
          <w:tcPr>
            <w:tcW w:w="2490" w:type="dxa"/>
            <w:vAlign w:val="center"/>
          </w:tcPr>
          <w:p>
            <w:pPr>
              <w:spacing w:line="240" w:lineRule="auto"/>
              <w:ind w:firstLine="0" w:firstLineChars="0"/>
              <w:jc w:val="center"/>
            </w:pPr>
          </w:p>
        </w:tc>
        <w:tc>
          <w:tcPr>
            <w:tcW w:w="164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0" w:type="dxa"/>
            <w:vAlign w:val="center"/>
          </w:tcPr>
          <w:p>
            <w:pPr>
              <w:spacing w:line="240" w:lineRule="auto"/>
              <w:ind w:firstLine="0" w:firstLineChars="0"/>
              <w:jc w:val="center"/>
            </w:pPr>
          </w:p>
        </w:tc>
        <w:tc>
          <w:tcPr>
            <w:tcW w:w="1632" w:type="dxa"/>
            <w:vAlign w:val="center"/>
          </w:tcPr>
          <w:p>
            <w:pPr>
              <w:spacing w:line="240" w:lineRule="auto"/>
              <w:ind w:firstLine="0" w:firstLineChars="0"/>
              <w:jc w:val="center"/>
            </w:pPr>
          </w:p>
        </w:tc>
        <w:tc>
          <w:tcPr>
            <w:tcW w:w="691"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250" w:type="dxa"/>
            <w:vAlign w:val="center"/>
          </w:tcPr>
          <w:p>
            <w:pPr>
              <w:spacing w:line="240" w:lineRule="auto"/>
              <w:ind w:firstLine="0" w:firstLineChars="0"/>
              <w:jc w:val="center"/>
            </w:pPr>
          </w:p>
        </w:tc>
        <w:tc>
          <w:tcPr>
            <w:tcW w:w="2490" w:type="dxa"/>
            <w:vAlign w:val="center"/>
          </w:tcPr>
          <w:p>
            <w:pPr>
              <w:spacing w:line="240" w:lineRule="auto"/>
              <w:ind w:firstLine="0" w:firstLineChars="0"/>
              <w:jc w:val="center"/>
            </w:pPr>
          </w:p>
        </w:tc>
        <w:tc>
          <w:tcPr>
            <w:tcW w:w="164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0" w:type="dxa"/>
            <w:vAlign w:val="center"/>
          </w:tcPr>
          <w:p>
            <w:pPr>
              <w:spacing w:line="240" w:lineRule="auto"/>
              <w:ind w:firstLine="0" w:firstLineChars="0"/>
              <w:jc w:val="center"/>
            </w:pPr>
          </w:p>
        </w:tc>
        <w:tc>
          <w:tcPr>
            <w:tcW w:w="1632" w:type="dxa"/>
            <w:vAlign w:val="center"/>
          </w:tcPr>
          <w:p>
            <w:pPr>
              <w:spacing w:line="240" w:lineRule="auto"/>
              <w:ind w:firstLine="0" w:firstLineChars="0"/>
              <w:jc w:val="center"/>
            </w:pPr>
          </w:p>
        </w:tc>
        <w:tc>
          <w:tcPr>
            <w:tcW w:w="691"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250" w:type="dxa"/>
            <w:vAlign w:val="center"/>
          </w:tcPr>
          <w:p>
            <w:pPr>
              <w:spacing w:line="240" w:lineRule="auto"/>
              <w:ind w:firstLine="0" w:firstLineChars="0"/>
              <w:jc w:val="center"/>
            </w:pPr>
          </w:p>
        </w:tc>
        <w:tc>
          <w:tcPr>
            <w:tcW w:w="2490" w:type="dxa"/>
            <w:vAlign w:val="center"/>
          </w:tcPr>
          <w:p>
            <w:pPr>
              <w:spacing w:line="240" w:lineRule="auto"/>
              <w:ind w:firstLine="0" w:firstLineChars="0"/>
              <w:jc w:val="center"/>
            </w:pPr>
          </w:p>
        </w:tc>
        <w:tc>
          <w:tcPr>
            <w:tcW w:w="164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0" w:type="dxa"/>
            <w:vAlign w:val="center"/>
          </w:tcPr>
          <w:p>
            <w:pPr>
              <w:spacing w:line="240" w:lineRule="auto"/>
              <w:ind w:firstLine="0" w:firstLineChars="0"/>
              <w:jc w:val="center"/>
            </w:pPr>
          </w:p>
        </w:tc>
        <w:tc>
          <w:tcPr>
            <w:tcW w:w="1632" w:type="dxa"/>
            <w:vAlign w:val="center"/>
          </w:tcPr>
          <w:p>
            <w:pPr>
              <w:spacing w:line="240" w:lineRule="auto"/>
              <w:ind w:firstLine="0" w:firstLineChars="0"/>
              <w:jc w:val="center"/>
            </w:pPr>
          </w:p>
        </w:tc>
        <w:tc>
          <w:tcPr>
            <w:tcW w:w="691"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250" w:type="dxa"/>
            <w:vAlign w:val="center"/>
          </w:tcPr>
          <w:p>
            <w:pPr>
              <w:spacing w:line="240" w:lineRule="auto"/>
              <w:ind w:firstLine="0" w:firstLineChars="0"/>
              <w:jc w:val="center"/>
            </w:pPr>
          </w:p>
        </w:tc>
        <w:tc>
          <w:tcPr>
            <w:tcW w:w="2490" w:type="dxa"/>
            <w:vAlign w:val="center"/>
          </w:tcPr>
          <w:p>
            <w:pPr>
              <w:spacing w:line="240" w:lineRule="auto"/>
              <w:ind w:firstLine="0" w:firstLineChars="0"/>
              <w:jc w:val="center"/>
            </w:pPr>
          </w:p>
        </w:tc>
        <w:tc>
          <w:tcPr>
            <w:tcW w:w="164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0" w:type="dxa"/>
            <w:vAlign w:val="center"/>
          </w:tcPr>
          <w:p>
            <w:pPr>
              <w:spacing w:line="240" w:lineRule="auto"/>
              <w:ind w:firstLine="0" w:firstLineChars="0"/>
              <w:jc w:val="center"/>
            </w:pPr>
          </w:p>
        </w:tc>
        <w:tc>
          <w:tcPr>
            <w:tcW w:w="1632" w:type="dxa"/>
            <w:vAlign w:val="center"/>
          </w:tcPr>
          <w:p>
            <w:pPr>
              <w:spacing w:line="240" w:lineRule="auto"/>
              <w:ind w:firstLine="0" w:firstLineChars="0"/>
              <w:jc w:val="center"/>
            </w:pPr>
          </w:p>
        </w:tc>
        <w:tc>
          <w:tcPr>
            <w:tcW w:w="691"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250" w:type="dxa"/>
            <w:vAlign w:val="center"/>
          </w:tcPr>
          <w:p>
            <w:pPr>
              <w:spacing w:line="240" w:lineRule="auto"/>
              <w:ind w:firstLine="0" w:firstLineChars="0"/>
              <w:jc w:val="center"/>
            </w:pPr>
          </w:p>
        </w:tc>
        <w:tc>
          <w:tcPr>
            <w:tcW w:w="2490" w:type="dxa"/>
            <w:vAlign w:val="center"/>
          </w:tcPr>
          <w:p>
            <w:pPr>
              <w:spacing w:line="240" w:lineRule="auto"/>
              <w:ind w:firstLine="0" w:firstLineChars="0"/>
              <w:jc w:val="center"/>
            </w:pPr>
          </w:p>
        </w:tc>
        <w:tc>
          <w:tcPr>
            <w:tcW w:w="164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0" w:type="dxa"/>
            <w:vAlign w:val="center"/>
          </w:tcPr>
          <w:p>
            <w:pPr>
              <w:spacing w:line="240" w:lineRule="auto"/>
              <w:ind w:firstLine="0" w:firstLineChars="0"/>
              <w:jc w:val="center"/>
            </w:pPr>
          </w:p>
        </w:tc>
        <w:tc>
          <w:tcPr>
            <w:tcW w:w="1632" w:type="dxa"/>
            <w:vAlign w:val="center"/>
          </w:tcPr>
          <w:p>
            <w:pPr>
              <w:spacing w:line="240" w:lineRule="auto"/>
              <w:ind w:firstLine="0" w:firstLineChars="0"/>
              <w:jc w:val="center"/>
            </w:pPr>
          </w:p>
        </w:tc>
        <w:tc>
          <w:tcPr>
            <w:tcW w:w="691"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250" w:type="dxa"/>
            <w:vAlign w:val="center"/>
          </w:tcPr>
          <w:p>
            <w:pPr>
              <w:spacing w:line="240" w:lineRule="auto"/>
              <w:ind w:firstLine="0" w:firstLineChars="0"/>
              <w:jc w:val="center"/>
            </w:pPr>
          </w:p>
        </w:tc>
        <w:tc>
          <w:tcPr>
            <w:tcW w:w="2490" w:type="dxa"/>
            <w:vAlign w:val="center"/>
          </w:tcPr>
          <w:p>
            <w:pPr>
              <w:spacing w:line="240" w:lineRule="auto"/>
              <w:ind w:firstLine="0" w:firstLineChars="0"/>
              <w:jc w:val="center"/>
            </w:pPr>
          </w:p>
        </w:tc>
        <w:tc>
          <w:tcPr>
            <w:tcW w:w="164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0" w:type="dxa"/>
            <w:vAlign w:val="center"/>
          </w:tcPr>
          <w:p>
            <w:pPr>
              <w:spacing w:line="240" w:lineRule="auto"/>
              <w:ind w:firstLine="0" w:firstLineChars="0"/>
              <w:jc w:val="center"/>
            </w:pPr>
          </w:p>
        </w:tc>
        <w:tc>
          <w:tcPr>
            <w:tcW w:w="1632" w:type="dxa"/>
            <w:vAlign w:val="center"/>
          </w:tcPr>
          <w:p>
            <w:pPr>
              <w:spacing w:line="240" w:lineRule="auto"/>
              <w:ind w:firstLine="0" w:firstLineChars="0"/>
              <w:jc w:val="center"/>
            </w:pPr>
          </w:p>
        </w:tc>
        <w:tc>
          <w:tcPr>
            <w:tcW w:w="691"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250" w:type="dxa"/>
            <w:vAlign w:val="center"/>
          </w:tcPr>
          <w:p>
            <w:pPr>
              <w:spacing w:line="240" w:lineRule="auto"/>
              <w:ind w:firstLine="0" w:firstLineChars="0"/>
              <w:jc w:val="center"/>
            </w:pPr>
          </w:p>
        </w:tc>
        <w:tc>
          <w:tcPr>
            <w:tcW w:w="2490" w:type="dxa"/>
            <w:vAlign w:val="center"/>
          </w:tcPr>
          <w:p>
            <w:pPr>
              <w:spacing w:line="240" w:lineRule="auto"/>
              <w:ind w:firstLine="0" w:firstLineChars="0"/>
              <w:jc w:val="center"/>
            </w:pPr>
          </w:p>
        </w:tc>
        <w:tc>
          <w:tcPr>
            <w:tcW w:w="164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c>
          <w:tcPr>
            <w:tcW w:w="1162"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3043" w:type="dxa"/>
            <w:gridSpan w:val="10"/>
            <w:vAlign w:val="center"/>
          </w:tcPr>
          <w:p>
            <w:pPr>
              <w:spacing w:line="240" w:lineRule="auto"/>
              <w:ind w:firstLine="0" w:firstLineChars="0"/>
            </w:pPr>
            <w:r>
              <w:rPr>
                <w:rFonts w:hint="eastAsia"/>
              </w:rPr>
              <w:t>注：</w:t>
            </w:r>
            <w:r>
              <w:t>1</w:t>
            </w:r>
            <w:r>
              <w:rPr>
                <w:rFonts w:hint="eastAsia"/>
              </w:rPr>
              <w:t>、主要机械设备指：土石方机械、打桩机械、起重机械等机械设备；</w:t>
            </w:r>
            <w:r>
              <w:t>2</w:t>
            </w:r>
            <w:r>
              <w:rPr>
                <w:rFonts w:hint="eastAsia"/>
              </w:rPr>
              <w:t>、无设备产权备案编号的应填写企业自编号。</w:t>
            </w:r>
          </w:p>
        </w:tc>
      </w:tr>
    </w:tbl>
    <w:p>
      <w:pPr>
        <w:spacing w:before="156" w:beforeLines="50"/>
        <w:ind w:firstLine="480"/>
      </w:pPr>
      <w:r>
        <w:rPr>
          <w:rFonts w:hint="eastAsia"/>
        </w:rPr>
        <w:t>填表人：</w:t>
      </w:r>
      <w:r>
        <w:t xml:space="preserve">                                    </w:t>
      </w:r>
      <w:r>
        <w:rPr>
          <w:rFonts w:hint="eastAsia"/>
        </w:rPr>
        <w:t>项目经理：</w:t>
      </w:r>
      <w:r>
        <w:t xml:space="preserve">                                </w:t>
      </w:r>
      <w:r>
        <w:rPr>
          <w:rFonts w:hint="eastAsia"/>
        </w:rPr>
        <w:t>日期：</w:t>
      </w:r>
    </w:p>
    <w:p>
      <w:pPr>
        <w:adjustRightInd w:val="0"/>
        <w:spacing w:line="500" w:lineRule="exact"/>
        <w:ind w:firstLine="240" w:firstLineChars="100"/>
        <w:jc w:val="center"/>
        <w:textAlignment w:val="baseline"/>
        <w:rPr>
          <w:rFonts w:ascii="仿宋_GB2312" w:hAnsi="仿宋_GB2312" w:cs="仿宋_GB2312"/>
          <w:szCs w:val="32"/>
        </w:rPr>
        <w:sectPr>
          <w:pgSz w:w="16838" w:h="11906" w:orient="landscape"/>
          <w:pgMar w:top="1588" w:right="2098" w:bottom="1474" w:left="1985" w:header="851" w:footer="992" w:gutter="0"/>
          <w:cols w:space="425" w:num="1"/>
          <w:docGrid w:type="lines" w:linePitch="312" w:charSpace="0"/>
        </w:sectPr>
      </w:pP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附件2</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特种设备使用管理台账</w:t>
      </w:r>
    </w:p>
    <w:p>
      <w:pPr>
        <w:ind w:firstLine="0" w:firstLineChars="0"/>
      </w:pPr>
      <w:r>
        <w:rPr>
          <w:rFonts w:hint="eastAsia"/>
        </w:rPr>
        <w:t>工程名称：</w:t>
      </w:r>
      <w:r>
        <w:rPr>
          <w:u w:val="single"/>
        </w:rPr>
        <w:t xml:space="preserve">                             </w:t>
      </w:r>
    </w:p>
    <w:tbl>
      <w:tblPr>
        <w:tblStyle w:val="22"/>
        <w:tblW w:w="1293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76"/>
        <w:gridCol w:w="1416"/>
        <w:gridCol w:w="1176"/>
        <w:gridCol w:w="1257"/>
        <w:gridCol w:w="1545"/>
        <w:gridCol w:w="1278"/>
        <w:gridCol w:w="1275"/>
        <w:gridCol w:w="1276"/>
        <w:gridCol w:w="1148"/>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spacing w:line="240" w:lineRule="auto"/>
              <w:ind w:firstLine="0" w:firstLineChars="0"/>
              <w:jc w:val="center"/>
            </w:pPr>
            <w:r>
              <w:rPr>
                <w:rFonts w:hint="eastAsia"/>
              </w:rPr>
              <w:t>序号</w:t>
            </w:r>
          </w:p>
        </w:tc>
        <w:tc>
          <w:tcPr>
            <w:tcW w:w="1176" w:type="dxa"/>
            <w:vAlign w:val="center"/>
          </w:tcPr>
          <w:p>
            <w:pPr>
              <w:spacing w:line="240" w:lineRule="auto"/>
              <w:ind w:firstLine="0" w:firstLineChars="0"/>
              <w:jc w:val="center"/>
            </w:pPr>
            <w:r>
              <w:rPr>
                <w:rFonts w:hint="eastAsia"/>
              </w:rPr>
              <w:t>设备名称</w:t>
            </w:r>
          </w:p>
        </w:tc>
        <w:tc>
          <w:tcPr>
            <w:tcW w:w="1416" w:type="dxa"/>
            <w:vAlign w:val="center"/>
          </w:tcPr>
          <w:p>
            <w:pPr>
              <w:spacing w:line="240" w:lineRule="auto"/>
              <w:ind w:firstLine="0" w:firstLineChars="0"/>
              <w:jc w:val="center"/>
            </w:pPr>
            <w:r>
              <w:rPr>
                <w:rFonts w:hint="eastAsia"/>
              </w:rPr>
              <w:t>型号及规格</w:t>
            </w:r>
          </w:p>
        </w:tc>
        <w:tc>
          <w:tcPr>
            <w:tcW w:w="1176" w:type="dxa"/>
            <w:vAlign w:val="center"/>
          </w:tcPr>
          <w:p>
            <w:pPr>
              <w:spacing w:line="240" w:lineRule="auto"/>
              <w:ind w:firstLine="0" w:firstLineChars="0"/>
              <w:jc w:val="center"/>
            </w:pPr>
            <w:r>
              <w:rPr>
                <w:rFonts w:hint="eastAsia"/>
              </w:rPr>
              <w:t>出厂日期</w:t>
            </w:r>
          </w:p>
        </w:tc>
        <w:tc>
          <w:tcPr>
            <w:tcW w:w="1257" w:type="dxa"/>
            <w:vAlign w:val="center"/>
          </w:tcPr>
          <w:p>
            <w:pPr>
              <w:spacing w:line="240" w:lineRule="auto"/>
              <w:ind w:firstLine="0" w:firstLineChars="0"/>
              <w:jc w:val="center"/>
            </w:pPr>
            <w:r>
              <w:rPr>
                <w:rFonts w:hint="eastAsia"/>
              </w:rPr>
              <w:t>生产厂家</w:t>
            </w:r>
          </w:p>
        </w:tc>
        <w:tc>
          <w:tcPr>
            <w:tcW w:w="1545" w:type="dxa"/>
            <w:vAlign w:val="center"/>
          </w:tcPr>
          <w:p>
            <w:pPr>
              <w:spacing w:line="240" w:lineRule="auto"/>
              <w:ind w:firstLine="0" w:firstLineChars="0"/>
              <w:jc w:val="center"/>
            </w:pPr>
            <w:r>
              <w:rPr>
                <w:rFonts w:hint="eastAsia"/>
              </w:rPr>
              <w:t>原值（万元）</w:t>
            </w:r>
          </w:p>
        </w:tc>
        <w:tc>
          <w:tcPr>
            <w:tcW w:w="1278" w:type="dxa"/>
            <w:vAlign w:val="center"/>
          </w:tcPr>
          <w:p>
            <w:pPr>
              <w:spacing w:line="240" w:lineRule="auto"/>
              <w:ind w:firstLine="0" w:firstLineChars="0"/>
              <w:jc w:val="center"/>
            </w:pPr>
            <w:r>
              <w:rPr>
                <w:rFonts w:hint="eastAsia"/>
              </w:rPr>
              <w:t>设备来源</w:t>
            </w:r>
          </w:p>
        </w:tc>
        <w:tc>
          <w:tcPr>
            <w:tcW w:w="1275" w:type="dxa"/>
            <w:vAlign w:val="center"/>
          </w:tcPr>
          <w:p>
            <w:pPr>
              <w:spacing w:line="240" w:lineRule="auto"/>
              <w:ind w:firstLine="0" w:firstLineChars="0"/>
              <w:jc w:val="center"/>
            </w:pPr>
            <w:r>
              <w:rPr>
                <w:rFonts w:hint="eastAsia"/>
              </w:rPr>
              <w:t>检定日期</w:t>
            </w:r>
          </w:p>
        </w:tc>
        <w:tc>
          <w:tcPr>
            <w:tcW w:w="1276" w:type="dxa"/>
            <w:vAlign w:val="center"/>
          </w:tcPr>
          <w:p>
            <w:pPr>
              <w:spacing w:line="240" w:lineRule="auto"/>
              <w:ind w:firstLine="0" w:firstLineChars="0"/>
              <w:jc w:val="center"/>
            </w:pPr>
            <w:r>
              <w:rPr>
                <w:rFonts w:hint="eastAsia"/>
              </w:rPr>
              <w:t>备案情况</w:t>
            </w:r>
          </w:p>
        </w:tc>
        <w:tc>
          <w:tcPr>
            <w:tcW w:w="1148" w:type="dxa"/>
            <w:vAlign w:val="center"/>
          </w:tcPr>
          <w:p>
            <w:pPr>
              <w:spacing w:line="240" w:lineRule="auto"/>
              <w:ind w:firstLine="0" w:firstLineChars="0"/>
              <w:jc w:val="center"/>
            </w:pPr>
            <w:r>
              <w:rPr>
                <w:rFonts w:hint="eastAsia"/>
              </w:rPr>
              <w:t>进场日期</w:t>
            </w:r>
          </w:p>
        </w:tc>
        <w:tc>
          <w:tcPr>
            <w:tcW w:w="693" w:type="dxa"/>
            <w:vAlign w:val="center"/>
          </w:tcPr>
          <w:p>
            <w:pPr>
              <w:spacing w:line="240" w:lineRule="auto"/>
              <w:ind w:firstLine="0" w:firstLineChars="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416" w:type="dxa"/>
            <w:vAlign w:val="center"/>
          </w:tcPr>
          <w:p>
            <w:pPr>
              <w:spacing w:line="240" w:lineRule="auto"/>
              <w:ind w:firstLine="0" w:firstLineChars="0"/>
              <w:jc w:val="center"/>
            </w:pPr>
          </w:p>
        </w:tc>
        <w:tc>
          <w:tcPr>
            <w:tcW w:w="1176" w:type="dxa"/>
            <w:vAlign w:val="center"/>
          </w:tcPr>
          <w:p>
            <w:pPr>
              <w:spacing w:line="240" w:lineRule="auto"/>
              <w:ind w:firstLine="0" w:firstLineChars="0"/>
              <w:jc w:val="center"/>
            </w:pPr>
          </w:p>
        </w:tc>
        <w:tc>
          <w:tcPr>
            <w:tcW w:w="1257" w:type="dxa"/>
            <w:vAlign w:val="center"/>
          </w:tcPr>
          <w:p>
            <w:pPr>
              <w:spacing w:line="240" w:lineRule="auto"/>
              <w:ind w:firstLine="0" w:firstLineChars="0"/>
              <w:jc w:val="center"/>
            </w:pPr>
          </w:p>
        </w:tc>
        <w:tc>
          <w:tcPr>
            <w:tcW w:w="1545" w:type="dxa"/>
            <w:vAlign w:val="center"/>
          </w:tcPr>
          <w:p>
            <w:pPr>
              <w:spacing w:line="240" w:lineRule="auto"/>
              <w:ind w:firstLine="0" w:firstLineChars="0"/>
              <w:jc w:val="center"/>
            </w:pPr>
          </w:p>
        </w:tc>
        <w:tc>
          <w:tcPr>
            <w:tcW w:w="1278" w:type="dxa"/>
            <w:vAlign w:val="center"/>
          </w:tcPr>
          <w:p>
            <w:pPr>
              <w:spacing w:line="240" w:lineRule="auto"/>
              <w:ind w:firstLine="0" w:firstLineChars="0"/>
              <w:jc w:val="center"/>
            </w:pPr>
          </w:p>
        </w:tc>
        <w:tc>
          <w:tcPr>
            <w:tcW w:w="1275" w:type="dxa"/>
            <w:vAlign w:val="center"/>
          </w:tcPr>
          <w:p>
            <w:pPr>
              <w:spacing w:line="240" w:lineRule="auto"/>
              <w:ind w:firstLine="0" w:firstLineChars="0"/>
              <w:jc w:val="center"/>
            </w:pPr>
          </w:p>
        </w:tc>
        <w:tc>
          <w:tcPr>
            <w:tcW w:w="1276" w:type="dxa"/>
            <w:vAlign w:val="center"/>
          </w:tcPr>
          <w:p>
            <w:pPr>
              <w:spacing w:line="240" w:lineRule="auto"/>
              <w:ind w:firstLine="0" w:firstLineChars="0"/>
              <w:jc w:val="center"/>
            </w:pPr>
          </w:p>
        </w:tc>
        <w:tc>
          <w:tcPr>
            <w:tcW w:w="1148" w:type="dxa"/>
            <w:vAlign w:val="center"/>
          </w:tcPr>
          <w:p>
            <w:pPr>
              <w:spacing w:line="240" w:lineRule="auto"/>
              <w:ind w:firstLine="0" w:firstLineChars="0"/>
              <w:jc w:val="center"/>
            </w:pPr>
          </w:p>
        </w:tc>
        <w:tc>
          <w:tcPr>
            <w:tcW w:w="693" w:type="dxa"/>
            <w:vAlign w:val="center"/>
          </w:tcPr>
          <w:p>
            <w:pPr>
              <w:spacing w:line="240" w:lineRule="auto"/>
              <w:ind w:firstLine="0" w:firstLineChars="0"/>
              <w:jc w:val="center"/>
            </w:pPr>
          </w:p>
        </w:tc>
      </w:tr>
    </w:tbl>
    <w:p>
      <w:pPr>
        <w:spacing w:before="156" w:beforeLines="50"/>
        <w:ind w:firstLine="480"/>
      </w:pPr>
      <w:r>
        <w:rPr>
          <w:rFonts w:hint="eastAsia"/>
        </w:rPr>
        <w:t>填表人：</w:t>
      </w:r>
      <w:r>
        <w:t xml:space="preserve">                                    </w:t>
      </w:r>
    </w:p>
    <w:p>
      <w:pPr>
        <w:ind w:firstLine="560"/>
        <w:rPr>
          <w:rFonts w:ascii="仿宋_GB2312" w:hAnsi="宋体" w:eastAsia="仿宋_GB2312"/>
          <w:sz w:val="28"/>
          <w:szCs w:val="28"/>
        </w:rPr>
        <w:sectPr>
          <w:pgSz w:w="16838" w:h="11906" w:orient="landscape"/>
          <w:pgMar w:top="1474" w:right="1985" w:bottom="1588" w:left="2098" w:header="851" w:footer="992" w:gutter="0"/>
          <w:cols w:space="425" w:num="1"/>
          <w:docGrid w:type="lines" w:linePitch="312" w:charSpace="0"/>
        </w:sectPr>
      </w:pP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附件3</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建筑起重机械备案登记汇总表</w:t>
      </w:r>
    </w:p>
    <w:p>
      <w:pPr>
        <w:ind w:firstLine="0" w:firstLineChars="0"/>
        <w:rPr>
          <w:rFonts w:ascii="宋体" w:hAnsi="宋体" w:eastAsia="宋体"/>
        </w:rPr>
      </w:pPr>
      <w:r>
        <w:rPr>
          <w:rFonts w:hint="eastAsia" w:ascii="宋体" w:hAnsi="宋体" w:eastAsia="宋体"/>
          <w:u w:val="single"/>
        </w:rPr>
        <w:t xml:space="preserve">         </w:t>
      </w:r>
      <w:r>
        <w:rPr>
          <w:rFonts w:hint="eastAsia" w:ascii="宋体" w:hAnsi="宋体" w:eastAsia="宋体"/>
        </w:rPr>
        <w:t>省（章）：                            填表日期：  年  月  日</w:t>
      </w:r>
    </w:p>
    <w:tbl>
      <w:tblPr>
        <w:tblStyle w:val="22"/>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032"/>
        <w:gridCol w:w="198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8" w:type="dxa"/>
            <w:vAlign w:val="center"/>
          </w:tcPr>
          <w:p>
            <w:pPr>
              <w:ind w:firstLine="0" w:firstLineChars="0"/>
              <w:jc w:val="center"/>
              <w:rPr>
                <w:rFonts w:ascii="宋体" w:hAnsi="宋体" w:eastAsia="宋体"/>
              </w:rPr>
            </w:pPr>
            <w:r>
              <w:rPr>
                <w:rFonts w:hint="eastAsia" w:ascii="宋体" w:hAnsi="宋体" w:eastAsia="宋体"/>
              </w:rPr>
              <w:t>类别</w:t>
            </w:r>
          </w:p>
        </w:tc>
        <w:tc>
          <w:tcPr>
            <w:tcW w:w="2032" w:type="dxa"/>
            <w:vAlign w:val="center"/>
          </w:tcPr>
          <w:p>
            <w:pPr>
              <w:ind w:firstLine="0" w:firstLineChars="0"/>
              <w:jc w:val="center"/>
              <w:rPr>
                <w:rFonts w:ascii="宋体" w:hAnsi="宋体" w:eastAsia="宋体"/>
                <w:spacing w:val="-8"/>
              </w:rPr>
            </w:pPr>
            <w:r>
              <w:rPr>
                <w:rFonts w:hint="eastAsia" w:ascii="宋体" w:hAnsi="宋体" w:eastAsia="宋体"/>
                <w:spacing w:val="-8"/>
              </w:rPr>
              <w:t>本年度核发</w:t>
            </w:r>
          </w:p>
          <w:p>
            <w:pPr>
              <w:ind w:firstLine="0" w:firstLineChars="0"/>
              <w:jc w:val="center"/>
              <w:rPr>
                <w:rFonts w:ascii="宋体" w:hAnsi="宋体" w:eastAsia="宋体"/>
                <w:spacing w:val="-8"/>
              </w:rPr>
            </w:pPr>
            <w:r>
              <w:rPr>
                <w:rFonts w:hint="eastAsia" w:ascii="宋体" w:hAnsi="宋体" w:eastAsia="宋体"/>
                <w:spacing w:val="-8"/>
              </w:rPr>
              <w:t>建筑起重机械备案证数量</w:t>
            </w:r>
          </w:p>
        </w:tc>
        <w:tc>
          <w:tcPr>
            <w:tcW w:w="1980" w:type="dxa"/>
            <w:vAlign w:val="center"/>
          </w:tcPr>
          <w:p>
            <w:pPr>
              <w:ind w:firstLine="0" w:firstLineChars="0"/>
              <w:jc w:val="center"/>
              <w:rPr>
                <w:rFonts w:ascii="宋体" w:hAnsi="宋体" w:eastAsia="宋体"/>
                <w:spacing w:val="-8"/>
              </w:rPr>
            </w:pPr>
            <w:r>
              <w:rPr>
                <w:rFonts w:hint="eastAsia" w:ascii="宋体" w:hAnsi="宋体" w:eastAsia="宋体"/>
                <w:spacing w:val="-8"/>
              </w:rPr>
              <w:t>本年度注销</w:t>
            </w:r>
          </w:p>
          <w:p>
            <w:pPr>
              <w:ind w:firstLine="0" w:firstLineChars="0"/>
              <w:jc w:val="center"/>
              <w:rPr>
                <w:rFonts w:ascii="宋体" w:hAnsi="宋体" w:eastAsia="宋体"/>
                <w:spacing w:val="-8"/>
              </w:rPr>
            </w:pPr>
            <w:r>
              <w:rPr>
                <w:rFonts w:hint="eastAsia" w:ascii="宋体" w:hAnsi="宋体" w:eastAsia="宋体"/>
                <w:spacing w:val="-8"/>
              </w:rPr>
              <w:t>建筑起重机械备案证数量</w:t>
            </w:r>
          </w:p>
        </w:tc>
        <w:tc>
          <w:tcPr>
            <w:tcW w:w="1800" w:type="dxa"/>
            <w:vAlign w:val="center"/>
          </w:tcPr>
          <w:p>
            <w:pPr>
              <w:ind w:firstLine="0" w:firstLineChars="0"/>
              <w:jc w:val="center"/>
              <w:rPr>
                <w:rFonts w:ascii="宋体" w:hAnsi="宋体" w:eastAsia="宋体"/>
                <w:spacing w:val="-8"/>
              </w:rPr>
            </w:pPr>
            <w:r>
              <w:rPr>
                <w:rFonts w:hint="eastAsia" w:ascii="宋体" w:hAnsi="宋体" w:eastAsia="宋体"/>
                <w:spacing w:val="-8"/>
              </w:rPr>
              <w:t>本年度核发使用登记证数量</w:t>
            </w:r>
          </w:p>
        </w:tc>
        <w:tc>
          <w:tcPr>
            <w:tcW w:w="1800" w:type="dxa"/>
            <w:vAlign w:val="center"/>
          </w:tcPr>
          <w:p>
            <w:pPr>
              <w:ind w:firstLine="0" w:firstLineChars="0"/>
              <w:jc w:val="center"/>
              <w:rPr>
                <w:rFonts w:ascii="宋体" w:hAnsi="宋体" w:eastAsia="宋体"/>
                <w:spacing w:val="-8"/>
              </w:rPr>
            </w:pPr>
            <w:r>
              <w:rPr>
                <w:rFonts w:hint="eastAsia" w:ascii="宋体" w:hAnsi="宋体" w:eastAsia="宋体"/>
                <w:spacing w:val="-8"/>
              </w:rPr>
              <w:t>本年度注销使用登记证数量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atLeast"/>
        </w:trPr>
        <w:tc>
          <w:tcPr>
            <w:tcW w:w="1748" w:type="dxa"/>
            <w:vAlign w:val="center"/>
          </w:tcPr>
          <w:p>
            <w:pPr>
              <w:ind w:firstLine="0" w:firstLineChars="0"/>
              <w:jc w:val="center"/>
              <w:rPr>
                <w:rFonts w:ascii="宋体" w:hAnsi="宋体" w:eastAsia="宋体"/>
                <w:spacing w:val="-14"/>
              </w:rPr>
            </w:pPr>
            <w:r>
              <w:rPr>
                <w:rFonts w:hint="eastAsia" w:ascii="宋体" w:hAnsi="宋体" w:eastAsia="宋体"/>
                <w:spacing w:val="-20"/>
              </w:rPr>
              <w:t>塔式起重机</w:t>
            </w:r>
          </w:p>
        </w:tc>
        <w:tc>
          <w:tcPr>
            <w:tcW w:w="2032" w:type="dxa"/>
            <w:vAlign w:val="center"/>
          </w:tcPr>
          <w:p>
            <w:pPr>
              <w:ind w:firstLine="0" w:firstLineChars="0"/>
              <w:jc w:val="center"/>
              <w:rPr>
                <w:rFonts w:ascii="宋体" w:hAnsi="宋体" w:eastAsia="宋体"/>
              </w:rPr>
            </w:pPr>
          </w:p>
        </w:tc>
        <w:tc>
          <w:tcPr>
            <w:tcW w:w="1980" w:type="dxa"/>
            <w:vAlign w:val="center"/>
          </w:tcPr>
          <w:p>
            <w:pPr>
              <w:ind w:firstLine="0" w:firstLineChars="0"/>
              <w:jc w:val="center"/>
              <w:rPr>
                <w:rFonts w:ascii="宋体" w:hAnsi="宋体" w:eastAsia="宋体"/>
              </w:rPr>
            </w:pPr>
          </w:p>
        </w:tc>
        <w:tc>
          <w:tcPr>
            <w:tcW w:w="1800" w:type="dxa"/>
            <w:vAlign w:val="center"/>
          </w:tcPr>
          <w:p>
            <w:pPr>
              <w:ind w:firstLine="0" w:firstLineChars="0"/>
              <w:jc w:val="center"/>
              <w:rPr>
                <w:rFonts w:ascii="宋体" w:hAnsi="宋体" w:eastAsia="宋体"/>
              </w:rPr>
            </w:pPr>
          </w:p>
        </w:tc>
        <w:tc>
          <w:tcPr>
            <w:tcW w:w="1800" w:type="dxa"/>
            <w:vAlign w:val="center"/>
          </w:tcPr>
          <w:p>
            <w:pPr>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1748" w:type="dxa"/>
            <w:vAlign w:val="center"/>
          </w:tcPr>
          <w:p>
            <w:pPr>
              <w:ind w:firstLine="0" w:firstLineChars="0"/>
              <w:jc w:val="center"/>
              <w:rPr>
                <w:rFonts w:ascii="宋体" w:hAnsi="宋体" w:eastAsia="宋体"/>
                <w:spacing w:val="-20"/>
              </w:rPr>
            </w:pPr>
            <w:r>
              <w:rPr>
                <w:rFonts w:hint="eastAsia" w:ascii="宋体" w:hAnsi="宋体" w:eastAsia="宋体"/>
                <w:spacing w:val="-20"/>
              </w:rPr>
              <w:t>施工升降机</w:t>
            </w:r>
          </w:p>
          <w:p>
            <w:pPr>
              <w:ind w:firstLine="0" w:firstLineChars="0"/>
              <w:jc w:val="center"/>
              <w:rPr>
                <w:rFonts w:ascii="宋体" w:hAnsi="宋体" w:eastAsia="宋体"/>
                <w:spacing w:val="-20"/>
              </w:rPr>
            </w:pPr>
            <w:r>
              <w:rPr>
                <w:rFonts w:hint="eastAsia" w:ascii="宋体" w:hAnsi="宋体" w:eastAsia="宋体"/>
                <w:spacing w:val="-20"/>
              </w:rPr>
              <w:t>（不含物料提升机）</w:t>
            </w:r>
          </w:p>
        </w:tc>
        <w:tc>
          <w:tcPr>
            <w:tcW w:w="2032" w:type="dxa"/>
            <w:vAlign w:val="center"/>
          </w:tcPr>
          <w:p>
            <w:pPr>
              <w:ind w:firstLine="0" w:firstLineChars="0"/>
              <w:jc w:val="center"/>
              <w:rPr>
                <w:rFonts w:ascii="宋体" w:hAnsi="宋体" w:eastAsia="宋体"/>
              </w:rPr>
            </w:pPr>
          </w:p>
        </w:tc>
        <w:tc>
          <w:tcPr>
            <w:tcW w:w="1980" w:type="dxa"/>
            <w:vAlign w:val="center"/>
          </w:tcPr>
          <w:p>
            <w:pPr>
              <w:ind w:firstLine="0" w:firstLineChars="0"/>
              <w:jc w:val="center"/>
              <w:rPr>
                <w:rFonts w:ascii="宋体" w:hAnsi="宋体" w:eastAsia="宋体"/>
              </w:rPr>
            </w:pPr>
          </w:p>
        </w:tc>
        <w:tc>
          <w:tcPr>
            <w:tcW w:w="1800" w:type="dxa"/>
            <w:vAlign w:val="center"/>
          </w:tcPr>
          <w:p>
            <w:pPr>
              <w:ind w:firstLine="0" w:firstLineChars="0"/>
              <w:jc w:val="center"/>
              <w:rPr>
                <w:rFonts w:ascii="宋体" w:hAnsi="宋体" w:eastAsia="宋体"/>
              </w:rPr>
            </w:pPr>
          </w:p>
        </w:tc>
        <w:tc>
          <w:tcPr>
            <w:tcW w:w="1800" w:type="dxa"/>
            <w:vAlign w:val="center"/>
          </w:tcPr>
          <w:p>
            <w:pPr>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1748" w:type="dxa"/>
            <w:vAlign w:val="center"/>
          </w:tcPr>
          <w:p>
            <w:pPr>
              <w:ind w:firstLine="0" w:firstLineChars="0"/>
              <w:jc w:val="center"/>
              <w:rPr>
                <w:rFonts w:ascii="宋体" w:hAnsi="宋体" w:eastAsia="宋体"/>
                <w:spacing w:val="-14"/>
              </w:rPr>
            </w:pPr>
            <w:r>
              <w:rPr>
                <w:rFonts w:hint="eastAsia" w:ascii="宋体" w:hAnsi="宋体" w:eastAsia="宋体"/>
                <w:spacing w:val="-20"/>
              </w:rPr>
              <w:t>物料提升机</w:t>
            </w:r>
          </w:p>
        </w:tc>
        <w:tc>
          <w:tcPr>
            <w:tcW w:w="2032" w:type="dxa"/>
            <w:vAlign w:val="center"/>
          </w:tcPr>
          <w:p>
            <w:pPr>
              <w:ind w:firstLine="0" w:firstLineChars="0"/>
              <w:jc w:val="center"/>
              <w:rPr>
                <w:rFonts w:ascii="宋体" w:hAnsi="宋体" w:eastAsia="宋体"/>
              </w:rPr>
            </w:pPr>
          </w:p>
        </w:tc>
        <w:tc>
          <w:tcPr>
            <w:tcW w:w="1980" w:type="dxa"/>
            <w:vAlign w:val="center"/>
          </w:tcPr>
          <w:p>
            <w:pPr>
              <w:ind w:firstLine="0" w:firstLineChars="0"/>
              <w:jc w:val="center"/>
              <w:rPr>
                <w:rFonts w:ascii="宋体" w:hAnsi="宋体" w:eastAsia="宋体"/>
              </w:rPr>
            </w:pPr>
          </w:p>
        </w:tc>
        <w:tc>
          <w:tcPr>
            <w:tcW w:w="1800" w:type="dxa"/>
            <w:vAlign w:val="center"/>
          </w:tcPr>
          <w:p>
            <w:pPr>
              <w:ind w:firstLine="0" w:firstLineChars="0"/>
              <w:jc w:val="center"/>
              <w:rPr>
                <w:rFonts w:ascii="宋体" w:hAnsi="宋体" w:eastAsia="宋体"/>
              </w:rPr>
            </w:pPr>
          </w:p>
        </w:tc>
        <w:tc>
          <w:tcPr>
            <w:tcW w:w="1800" w:type="dxa"/>
            <w:vAlign w:val="center"/>
          </w:tcPr>
          <w:p>
            <w:pPr>
              <w:ind w:firstLine="0" w:firstLineChars="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748" w:type="dxa"/>
            <w:vAlign w:val="center"/>
          </w:tcPr>
          <w:p>
            <w:pPr>
              <w:ind w:firstLine="0" w:firstLineChars="0"/>
              <w:jc w:val="center"/>
              <w:rPr>
                <w:rFonts w:ascii="宋体" w:hAnsi="宋体" w:eastAsia="宋体"/>
                <w:spacing w:val="-20"/>
              </w:rPr>
            </w:pPr>
            <w:r>
              <w:rPr>
                <w:rFonts w:hint="eastAsia" w:ascii="宋体" w:hAnsi="宋体" w:eastAsia="宋体"/>
                <w:spacing w:val="-20"/>
              </w:rPr>
              <w:t>其     他</w:t>
            </w:r>
          </w:p>
          <w:p>
            <w:pPr>
              <w:ind w:firstLine="0" w:firstLineChars="0"/>
              <w:jc w:val="center"/>
              <w:rPr>
                <w:rFonts w:ascii="宋体" w:hAnsi="宋体" w:eastAsia="宋体"/>
              </w:rPr>
            </w:pPr>
            <w:r>
              <w:rPr>
                <w:rFonts w:hint="eastAsia" w:ascii="宋体" w:hAnsi="宋体" w:eastAsia="宋体"/>
                <w:spacing w:val="-20"/>
              </w:rPr>
              <w:t>起重机械</w:t>
            </w:r>
          </w:p>
        </w:tc>
        <w:tc>
          <w:tcPr>
            <w:tcW w:w="2032" w:type="dxa"/>
          </w:tcPr>
          <w:p>
            <w:pPr>
              <w:ind w:firstLine="0" w:firstLineChars="0"/>
              <w:rPr>
                <w:rFonts w:ascii="宋体" w:hAnsi="宋体" w:eastAsia="宋体"/>
              </w:rPr>
            </w:pPr>
          </w:p>
        </w:tc>
        <w:tc>
          <w:tcPr>
            <w:tcW w:w="1980" w:type="dxa"/>
          </w:tcPr>
          <w:p>
            <w:pPr>
              <w:ind w:firstLine="0" w:firstLineChars="0"/>
              <w:rPr>
                <w:rFonts w:ascii="宋体" w:hAnsi="宋体" w:eastAsia="宋体"/>
              </w:rPr>
            </w:pPr>
          </w:p>
        </w:tc>
        <w:tc>
          <w:tcPr>
            <w:tcW w:w="1800" w:type="dxa"/>
          </w:tcPr>
          <w:p>
            <w:pPr>
              <w:ind w:firstLine="0" w:firstLineChars="0"/>
              <w:rPr>
                <w:rFonts w:ascii="宋体" w:hAnsi="宋体" w:eastAsia="宋体"/>
              </w:rPr>
            </w:pPr>
          </w:p>
        </w:tc>
        <w:tc>
          <w:tcPr>
            <w:tcW w:w="1800" w:type="dxa"/>
          </w:tcPr>
          <w:p>
            <w:pPr>
              <w:ind w:firstLine="0" w:firstLineChars="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748" w:type="dxa"/>
            <w:vAlign w:val="center"/>
          </w:tcPr>
          <w:p>
            <w:pPr>
              <w:ind w:firstLine="0" w:firstLineChars="0"/>
              <w:jc w:val="center"/>
              <w:rPr>
                <w:rFonts w:ascii="宋体" w:hAnsi="宋体" w:eastAsia="宋体"/>
                <w:spacing w:val="-20"/>
              </w:rPr>
            </w:pPr>
            <w:r>
              <w:rPr>
                <w:rFonts w:hint="eastAsia" w:ascii="宋体" w:hAnsi="宋体" w:eastAsia="宋体"/>
                <w:spacing w:val="-20"/>
              </w:rPr>
              <w:t>合     计</w:t>
            </w:r>
          </w:p>
        </w:tc>
        <w:tc>
          <w:tcPr>
            <w:tcW w:w="2032" w:type="dxa"/>
          </w:tcPr>
          <w:p>
            <w:pPr>
              <w:ind w:firstLine="0" w:firstLineChars="0"/>
              <w:rPr>
                <w:rFonts w:ascii="宋体" w:hAnsi="宋体" w:eastAsia="宋体"/>
              </w:rPr>
            </w:pPr>
          </w:p>
        </w:tc>
        <w:tc>
          <w:tcPr>
            <w:tcW w:w="1980" w:type="dxa"/>
          </w:tcPr>
          <w:p>
            <w:pPr>
              <w:ind w:firstLine="0" w:firstLineChars="0"/>
              <w:rPr>
                <w:rFonts w:ascii="宋体" w:hAnsi="宋体" w:eastAsia="宋体"/>
              </w:rPr>
            </w:pPr>
          </w:p>
        </w:tc>
        <w:tc>
          <w:tcPr>
            <w:tcW w:w="1800" w:type="dxa"/>
          </w:tcPr>
          <w:p>
            <w:pPr>
              <w:ind w:firstLine="0" w:firstLineChars="0"/>
              <w:rPr>
                <w:rFonts w:ascii="宋体" w:hAnsi="宋体" w:eastAsia="宋体"/>
              </w:rPr>
            </w:pPr>
          </w:p>
        </w:tc>
        <w:tc>
          <w:tcPr>
            <w:tcW w:w="1800" w:type="dxa"/>
          </w:tcPr>
          <w:p>
            <w:pPr>
              <w:ind w:firstLine="0" w:firstLineChars="0"/>
              <w:rPr>
                <w:rFonts w:ascii="宋体" w:hAnsi="宋体" w:eastAsia="宋体"/>
              </w:rPr>
            </w:pPr>
          </w:p>
        </w:tc>
      </w:tr>
    </w:tbl>
    <w:p>
      <w:pPr>
        <w:widowControl w:val="0"/>
        <w:ind w:firstLine="0" w:firstLineChars="0"/>
        <w:rPr>
          <w:rFonts w:ascii="宋体" w:hAnsi="宋体" w:eastAsia="宋体" w:cs="Calibri"/>
          <w:b/>
          <w:bCs/>
          <w:sz w:val="32"/>
        </w:rPr>
        <w:sectPr>
          <w:pgSz w:w="11906" w:h="16838"/>
          <w:pgMar w:top="1440" w:right="1797" w:bottom="1440" w:left="1797" w:header="851" w:footer="992" w:gutter="0"/>
          <w:cols w:space="425" w:num="1"/>
          <w:docGrid w:type="lines" w:linePitch="312" w:charSpace="0"/>
        </w:sectPr>
      </w:pPr>
    </w:p>
    <w:bookmarkEnd w:id="166"/>
    <w:p>
      <w:pPr>
        <w:pStyle w:val="2"/>
      </w:pPr>
      <w:bookmarkStart w:id="172" w:name="_Toc8807"/>
      <w:bookmarkStart w:id="173" w:name="_Toc18006"/>
      <w:r>
        <w:rPr>
          <w:rFonts w:hint="eastAsia"/>
        </w:rPr>
        <w:t>二十二、安全质量文明施工违约处罚实施细则</w:t>
      </w:r>
      <w:bookmarkEnd w:id="172"/>
      <w:bookmarkEnd w:id="173"/>
    </w:p>
    <w:p>
      <w:pPr>
        <w:pStyle w:val="3"/>
        <w:widowControl w:val="0"/>
      </w:pPr>
      <w:bookmarkStart w:id="174" w:name="_Toc21653"/>
      <w:r>
        <w:rPr>
          <w:rFonts w:hint="eastAsia"/>
        </w:rPr>
        <w:t>第一章 总则</w:t>
      </w:r>
      <w:bookmarkEnd w:id="174"/>
    </w:p>
    <w:p>
      <w:pPr>
        <w:widowControl w:val="0"/>
        <w:ind w:firstLine="482"/>
        <w:rPr>
          <w:rFonts w:ascii="宋体" w:hAnsi="宋体" w:eastAsia="宋体" w:cs="Calibri"/>
          <w:szCs w:val="21"/>
        </w:rPr>
      </w:pPr>
      <w:r>
        <w:rPr>
          <w:rFonts w:hint="eastAsia" w:ascii="宋体" w:hAnsi="宋体" w:eastAsia="宋体" w:cs="Calibri"/>
          <w:b/>
          <w:bCs/>
          <w:szCs w:val="21"/>
        </w:rPr>
        <w:t>第一条</w:t>
      </w:r>
      <w:r>
        <w:rPr>
          <w:rFonts w:hint="eastAsia" w:ascii="宋体" w:hAnsi="宋体" w:eastAsia="宋体" w:cs="Calibri"/>
          <w:szCs w:val="21"/>
        </w:rPr>
        <w:t xml:space="preserve"> </w:t>
      </w:r>
      <w:r>
        <w:rPr>
          <w:rFonts w:hint="eastAsia" w:ascii="宋体" w:hAnsi="宋体"/>
        </w:rPr>
        <w:t>为全面加强苏州中车建设工程有限公司台州市域铁路</w:t>
      </w:r>
      <w:r>
        <w:t>S1</w:t>
      </w:r>
      <w:r>
        <w:rPr>
          <w:rFonts w:hint="eastAsia" w:ascii="宋体" w:hAnsi="宋体"/>
        </w:rPr>
        <w:t>线一</w:t>
      </w:r>
      <w:r>
        <w:rPr>
          <w:rFonts w:hint="eastAsia"/>
        </w:rPr>
        <w:t>期PPP项目工程总承包项目部（以下简称“总承包项目部”）项目危险源管理，促进安全生产，规范文明施工管理，提高各参建单位质量管理意识，确保轨道交通建设工程质量，杜绝重大质量事故发生，防范安全、质量事故，树立良</w:t>
      </w:r>
      <w:r>
        <w:rPr>
          <w:rFonts w:hint="eastAsia" w:ascii="宋体" w:hAnsi="宋体" w:eastAsia="宋体" w:cs="Calibri"/>
          <w:szCs w:val="21"/>
        </w:rPr>
        <w:t>好的工程形象。根据国家相关法律、法规及《专业分包合同》、《安全生产责任协议书》、《文明施工责任协议书》，制订本细则。</w:t>
      </w:r>
    </w:p>
    <w:p>
      <w:pPr>
        <w:widowControl w:val="0"/>
        <w:ind w:firstLine="482"/>
        <w:rPr>
          <w:rFonts w:ascii="宋体" w:hAnsi="宋体" w:eastAsia="宋体" w:cs="Calibri"/>
          <w:szCs w:val="21"/>
        </w:rPr>
      </w:pPr>
      <w:r>
        <w:rPr>
          <w:rFonts w:hint="eastAsia" w:ascii="宋体" w:hAnsi="宋体" w:eastAsia="宋体" w:cs="Calibri"/>
          <w:b/>
          <w:bCs/>
          <w:szCs w:val="21"/>
        </w:rPr>
        <w:t>第二条</w:t>
      </w:r>
      <w:r>
        <w:rPr>
          <w:rFonts w:hint="eastAsia" w:ascii="宋体" w:hAnsi="宋体" w:eastAsia="宋体" w:cs="Calibri"/>
          <w:szCs w:val="21"/>
        </w:rPr>
        <w:t xml:space="preserve"> 惩罚原则</w:t>
      </w:r>
    </w:p>
    <w:p>
      <w:pPr>
        <w:widowControl w:val="0"/>
        <w:ind w:firstLine="480"/>
        <w:rPr>
          <w:rFonts w:ascii="宋体" w:hAnsi="宋体" w:eastAsia="宋体" w:cs="Calibri"/>
          <w:szCs w:val="21"/>
        </w:rPr>
      </w:pPr>
      <w:r>
        <w:rPr>
          <w:rFonts w:hint="eastAsia" w:ascii="宋体" w:hAnsi="宋体" w:eastAsia="宋体" w:cs="Calibri"/>
          <w:szCs w:val="21"/>
        </w:rPr>
        <w:t>（一）坚持实事求是，依法合规；</w:t>
      </w:r>
    </w:p>
    <w:p>
      <w:pPr>
        <w:widowControl w:val="0"/>
        <w:ind w:firstLine="480"/>
        <w:rPr>
          <w:rFonts w:ascii="宋体" w:hAnsi="宋体" w:eastAsia="宋体" w:cs="Calibri"/>
          <w:szCs w:val="21"/>
        </w:rPr>
      </w:pPr>
      <w:r>
        <w:rPr>
          <w:rFonts w:hint="eastAsia" w:ascii="宋体" w:hAnsi="宋体" w:eastAsia="宋体" w:cs="Calibri"/>
          <w:szCs w:val="21"/>
        </w:rPr>
        <w:t>（二）坚持经济处罚与责任追究并处。</w:t>
      </w:r>
    </w:p>
    <w:p>
      <w:pPr>
        <w:widowControl w:val="0"/>
        <w:ind w:firstLine="482"/>
        <w:rPr>
          <w:rFonts w:ascii="宋体" w:hAnsi="宋体" w:eastAsia="宋体" w:cs="Calibri"/>
          <w:szCs w:val="21"/>
        </w:rPr>
      </w:pPr>
      <w:r>
        <w:rPr>
          <w:rFonts w:hint="eastAsia" w:ascii="宋体" w:hAnsi="宋体" w:eastAsia="宋体" w:cs="Calibri"/>
          <w:b/>
          <w:bCs/>
          <w:szCs w:val="21"/>
        </w:rPr>
        <w:t>第三条</w:t>
      </w:r>
      <w:r>
        <w:rPr>
          <w:rFonts w:hint="eastAsia" w:ascii="宋体" w:hAnsi="宋体" w:eastAsia="宋体" w:cs="Calibri"/>
          <w:szCs w:val="21"/>
        </w:rPr>
        <w:t xml:space="preserve"> 本细则适用于台州市域铁路</w:t>
      </w:r>
      <w:r>
        <w:rPr>
          <w:rFonts w:hint="eastAsia"/>
        </w:rPr>
        <w:t>S1线一期PPP项</w:t>
      </w:r>
      <w:r>
        <w:rPr>
          <w:rFonts w:hint="eastAsia" w:ascii="宋体" w:hAnsi="宋体" w:eastAsia="宋体" w:cs="Calibri"/>
          <w:szCs w:val="21"/>
        </w:rPr>
        <w:t>目工程。</w:t>
      </w:r>
    </w:p>
    <w:p>
      <w:pPr>
        <w:pStyle w:val="3"/>
        <w:widowControl w:val="0"/>
      </w:pPr>
      <w:bookmarkStart w:id="175" w:name="_Toc7910"/>
      <w:r>
        <w:rPr>
          <w:rFonts w:hint="eastAsia"/>
        </w:rPr>
        <w:t>第二章 违约处罚及标准</w:t>
      </w:r>
      <w:bookmarkEnd w:id="175"/>
    </w:p>
    <w:p>
      <w:pPr>
        <w:widowControl w:val="0"/>
        <w:ind w:firstLine="482"/>
        <w:rPr>
          <w:rFonts w:ascii="宋体" w:hAnsi="宋体" w:eastAsia="宋体" w:cs="Calibri"/>
          <w:szCs w:val="21"/>
        </w:rPr>
      </w:pPr>
      <w:r>
        <w:rPr>
          <w:rFonts w:hint="eastAsia" w:ascii="宋体" w:hAnsi="宋体" w:eastAsia="宋体" w:cs="Calibri"/>
          <w:b/>
          <w:bCs/>
          <w:szCs w:val="21"/>
        </w:rPr>
        <w:t>第四条</w:t>
      </w:r>
      <w:r>
        <w:rPr>
          <w:rFonts w:hint="eastAsia" w:ascii="宋体" w:hAnsi="宋体" w:eastAsia="宋体" w:cs="Calibri"/>
          <w:szCs w:val="21"/>
        </w:rPr>
        <w:t xml:space="preserve"> 安全生产方面</w:t>
      </w:r>
    </w:p>
    <w:p>
      <w:pPr>
        <w:widowControl w:val="0"/>
        <w:ind w:firstLine="480"/>
        <w:rPr>
          <w:rFonts w:ascii="宋体" w:hAnsi="宋体" w:eastAsia="宋体" w:cs="Calibri"/>
          <w:szCs w:val="21"/>
        </w:rPr>
      </w:pPr>
      <w:r>
        <w:rPr>
          <w:rFonts w:hint="eastAsia" w:ascii="宋体" w:hAnsi="宋体" w:eastAsia="宋体" w:cs="Calibri"/>
          <w:szCs w:val="21"/>
        </w:rPr>
        <w:t>（一）在合同期内发生一次一般事故，给予工区项目部合同总额千分之一（</w:t>
      </w:r>
      <w:r>
        <w:rPr>
          <w:rFonts w:hint="eastAsia"/>
        </w:rPr>
        <w:t>1‰</w:t>
      </w:r>
      <w:r>
        <w:rPr>
          <w:rFonts w:hint="eastAsia" w:ascii="宋体" w:hAnsi="宋体" w:eastAsia="宋体" w:cs="Calibri"/>
          <w:szCs w:val="21"/>
        </w:rPr>
        <w:t>）的违约处罚，违约金不足以弥补承包人损失的，承包人有权进行追索。</w:t>
      </w:r>
    </w:p>
    <w:p>
      <w:pPr>
        <w:widowControl w:val="0"/>
        <w:ind w:firstLine="480"/>
        <w:rPr>
          <w:rFonts w:ascii="宋体" w:hAnsi="宋体" w:eastAsia="宋体" w:cs="Calibri"/>
          <w:szCs w:val="21"/>
        </w:rPr>
      </w:pPr>
      <w:r>
        <w:rPr>
          <w:rFonts w:hint="eastAsia" w:ascii="宋体" w:hAnsi="宋体" w:eastAsia="宋体" w:cs="Calibri"/>
          <w:szCs w:val="21"/>
        </w:rPr>
        <w:t>（二）在合同期内发生一次较大事故，给予工区项目部合同总额千分之三（</w:t>
      </w:r>
      <w:r>
        <w:rPr>
          <w:rFonts w:hint="eastAsia"/>
        </w:rPr>
        <w:t>3‰</w:t>
      </w:r>
      <w:r>
        <w:rPr>
          <w:rFonts w:hint="eastAsia" w:ascii="宋体" w:hAnsi="宋体" w:eastAsia="宋体" w:cs="Calibri"/>
          <w:szCs w:val="21"/>
        </w:rPr>
        <w:t>）的违约处罚，违约金不足以弥补承包人损失的，承包人有权进行追索。</w:t>
      </w:r>
    </w:p>
    <w:p>
      <w:pPr>
        <w:widowControl w:val="0"/>
        <w:ind w:firstLine="480"/>
        <w:rPr>
          <w:rFonts w:ascii="宋体" w:hAnsi="宋体" w:eastAsia="宋体" w:cs="Calibri"/>
          <w:szCs w:val="21"/>
        </w:rPr>
      </w:pPr>
      <w:r>
        <w:rPr>
          <w:rFonts w:hint="eastAsia" w:ascii="宋体" w:hAnsi="宋体" w:eastAsia="宋体" w:cs="Calibri"/>
          <w:szCs w:val="21"/>
        </w:rPr>
        <w:t>（三）在合同期内发生一次重大事故，给予工区项目部合同总额千分之四（</w:t>
      </w:r>
      <w:r>
        <w:rPr>
          <w:rFonts w:hint="eastAsia"/>
        </w:rPr>
        <w:t>4‰</w:t>
      </w:r>
      <w:r>
        <w:rPr>
          <w:rFonts w:hint="eastAsia" w:ascii="宋体" w:hAnsi="宋体" w:eastAsia="宋体" w:cs="Calibri"/>
          <w:szCs w:val="21"/>
        </w:rPr>
        <w:t>）的违约处罚，违约金不足以弥补承包人损失的，承包人有权进行追索。</w:t>
      </w:r>
    </w:p>
    <w:p>
      <w:pPr>
        <w:widowControl w:val="0"/>
        <w:ind w:firstLine="480"/>
        <w:rPr>
          <w:rFonts w:ascii="宋体" w:hAnsi="宋体" w:eastAsia="宋体" w:cs="Calibri"/>
          <w:szCs w:val="21"/>
        </w:rPr>
      </w:pPr>
      <w:r>
        <w:rPr>
          <w:rFonts w:hint="eastAsia" w:ascii="宋体" w:hAnsi="宋体" w:eastAsia="宋体" w:cs="Calibri"/>
          <w:szCs w:val="21"/>
        </w:rPr>
        <w:t>（四）在合同期内发生一次特别重大事故，给予工区项目部合同总额千分之</w:t>
      </w:r>
      <w:r>
        <w:rPr>
          <w:rFonts w:hint="eastAsia" w:eastAsia="宋体"/>
        </w:rPr>
        <w:t>五</w:t>
      </w:r>
      <w:r>
        <w:rPr>
          <w:rFonts w:hint="eastAsia" w:ascii="宋体" w:hAnsi="宋体" w:eastAsia="宋体" w:cs="Calibri"/>
          <w:szCs w:val="21"/>
        </w:rPr>
        <w:t>（</w:t>
      </w:r>
      <w:r>
        <w:rPr>
          <w:rFonts w:hint="eastAsia"/>
        </w:rPr>
        <w:t>5‰</w:t>
      </w:r>
      <w:r>
        <w:rPr>
          <w:rFonts w:hint="eastAsia" w:ascii="宋体" w:hAnsi="宋体" w:eastAsia="宋体" w:cs="Calibri"/>
          <w:szCs w:val="21"/>
        </w:rPr>
        <w:t>）的违约处罚，违约金不足以弥补承包人损失的，承包人有权进行追索。</w:t>
      </w:r>
    </w:p>
    <w:p>
      <w:pPr>
        <w:widowControl w:val="0"/>
        <w:ind w:firstLine="480"/>
        <w:rPr>
          <w:rFonts w:ascii="宋体" w:hAnsi="宋体" w:eastAsia="宋体" w:cs="Calibri"/>
          <w:szCs w:val="21"/>
        </w:rPr>
      </w:pPr>
      <w:r>
        <w:rPr>
          <w:rFonts w:hint="eastAsia" w:ascii="宋体" w:hAnsi="宋体" w:eastAsia="宋体" w:cs="Calibri"/>
          <w:szCs w:val="21"/>
        </w:rPr>
        <w:t>（五）在合同期内被市行政主管部门处罚或发生刑事、治安及其他给项目工程形象造成不良影响的事件，给予工区项目部</w:t>
      </w:r>
      <w:r>
        <w:rPr>
          <w:rFonts w:hint="eastAsia"/>
        </w:rPr>
        <w:t>1万元～5</w:t>
      </w:r>
      <w:r>
        <w:rPr>
          <w:rFonts w:hint="eastAsia" w:ascii="宋体" w:hAnsi="宋体" w:eastAsia="宋体" w:cs="Calibri"/>
          <w:szCs w:val="21"/>
        </w:rPr>
        <w:t>万元违约处罚。</w:t>
      </w:r>
    </w:p>
    <w:p>
      <w:pPr>
        <w:widowControl w:val="0"/>
        <w:ind w:firstLine="480"/>
        <w:rPr>
          <w:rFonts w:ascii="宋体" w:hAnsi="宋体" w:eastAsia="宋体" w:cs="Calibri"/>
          <w:szCs w:val="21"/>
        </w:rPr>
      </w:pPr>
      <w:r>
        <w:rPr>
          <w:rFonts w:hint="eastAsia" w:ascii="宋体" w:hAnsi="宋体" w:eastAsia="宋体" w:cs="Calibri"/>
          <w:szCs w:val="21"/>
        </w:rPr>
        <w:t>（六）工区项目部安全组织机构、安全管理制度、应急救援体系不健全、人员配置未达到相关要求等，给</w:t>
      </w:r>
      <w:r>
        <w:rPr>
          <w:rFonts w:hint="eastAsia"/>
        </w:rPr>
        <w:t>予0.5万元～2万元</w:t>
      </w:r>
      <w:r>
        <w:rPr>
          <w:rFonts w:hint="eastAsia" w:ascii="宋体" w:hAnsi="宋体" w:eastAsia="宋体" w:cs="Calibri"/>
          <w:szCs w:val="21"/>
        </w:rPr>
        <w:t>处罚。对提出整改要求，超出整改期限仍未达到整改要求的，</w:t>
      </w:r>
      <w:r>
        <w:rPr>
          <w:rFonts w:hint="eastAsia"/>
        </w:rPr>
        <w:t>给予1万元～5万元</w:t>
      </w:r>
      <w:r>
        <w:rPr>
          <w:rFonts w:hint="eastAsia" w:ascii="宋体" w:hAnsi="宋体" w:eastAsia="宋体" w:cs="Calibri"/>
          <w:szCs w:val="21"/>
        </w:rPr>
        <w:t>处罚。</w:t>
      </w:r>
    </w:p>
    <w:p>
      <w:pPr>
        <w:widowControl w:val="0"/>
        <w:ind w:firstLine="480"/>
        <w:rPr>
          <w:rFonts w:ascii="宋体" w:hAnsi="宋体" w:eastAsia="宋体" w:cs="Calibri"/>
          <w:szCs w:val="21"/>
        </w:rPr>
      </w:pPr>
      <w:r>
        <w:rPr>
          <w:rFonts w:hint="eastAsia" w:ascii="宋体" w:hAnsi="宋体" w:eastAsia="宋体" w:cs="Calibri"/>
          <w:szCs w:val="21"/>
        </w:rPr>
        <w:t>（七）工区项目部无有效安全专项施工方案、安全措施不到位、不按方案施工、关键节点工程施工前未进行条件验收等就进行施工的，给予工区项目部</w:t>
      </w:r>
      <w:r>
        <w:rPr>
          <w:rFonts w:hint="eastAsia"/>
        </w:rPr>
        <w:t>0.5万元～2万元处罚，对提出整改要求，超出整改期限仍未达到整改要求的工区项目部</w:t>
      </w:r>
      <w:r>
        <w:rPr>
          <w:rFonts w:hint="eastAsia" w:ascii="宋体" w:hAnsi="宋体" w:eastAsia="宋体" w:cs="Calibri"/>
          <w:szCs w:val="21"/>
        </w:rPr>
        <w:t>，给</w:t>
      </w:r>
      <w:r>
        <w:rPr>
          <w:rFonts w:hint="eastAsia"/>
        </w:rPr>
        <w:t>予1万元～5万元处罚。</w:t>
      </w:r>
    </w:p>
    <w:p>
      <w:pPr>
        <w:widowControl w:val="0"/>
        <w:ind w:firstLine="480"/>
      </w:pPr>
      <w:r>
        <w:rPr>
          <w:rFonts w:hint="eastAsia" w:ascii="宋体" w:hAnsi="宋体" w:eastAsia="宋体" w:cs="Calibri"/>
          <w:szCs w:val="21"/>
        </w:rPr>
        <w:t>（八）施工现场无安全监管人员，给予工区项目部</w:t>
      </w:r>
      <w:r>
        <w:rPr>
          <w:rFonts w:hint="eastAsia"/>
        </w:rPr>
        <w:t>0.2万元～1万元处罚。对多次（3次及以上）检查均发现类似问题的工区项目部，按上述金额的2倍进行处罚。</w:t>
      </w:r>
    </w:p>
    <w:p>
      <w:pPr>
        <w:widowControl w:val="0"/>
        <w:ind w:firstLine="480"/>
      </w:pPr>
      <w:r>
        <w:rPr>
          <w:rFonts w:hint="eastAsia"/>
        </w:rPr>
        <w:t>（九）安全文明施工台账未按《浙江省市政基础设施施工现场安全生产文明施工管理台账》要求建立台账的，</w:t>
      </w:r>
      <w:r>
        <w:rPr>
          <w:rFonts w:hint="eastAsia" w:ascii="宋体" w:hAnsi="宋体" w:eastAsia="宋体" w:cs="Calibri"/>
          <w:szCs w:val="21"/>
        </w:rPr>
        <w:t>给予工区项目部</w:t>
      </w:r>
      <w:r>
        <w:rPr>
          <w:rFonts w:hint="eastAsia"/>
        </w:rPr>
        <w:t>0.2万元～1万元处罚。对多次（3次及以上）检查均发现类似问题的工区项目部，按上述金额的2倍进行处罚。</w:t>
      </w:r>
    </w:p>
    <w:p>
      <w:pPr>
        <w:widowControl w:val="0"/>
        <w:ind w:firstLine="480"/>
      </w:pPr>
      <w:r>
        <w:rPr>
          <w:rFonts w:hint="eastAsia"/>
        </w:rPr>
        <w:t>（十）对总承包项目部及以上单位下发的整改通知单不及时回复、不闭合、不整改的，每次给予0.2万元～1万元处罚。对多次（3次及以上）检查均发现类似问题的工区项目部，按上述金额的2倍进行处罚。</w:t>
      </w:r>
    </w:p>
    <w:p>
      <w:pPr>
        <w:widowControl w:val="0"/>
        <w:ind w:firstLine="480"/>
      </w:pPr>
      <w:r>
        <w:rPr>
          <w:rFonts w:hint="eastAsia"/>
        </w:rPr>
        <w:t>（十一）建筑机具未按相关规定进行备案就投入使用、使用过程中无相关检查制度和检查、维保记录的，存在安全隐患</w:t>
      </w:r>
      <w:r>
        <w:rPr>
          <w:rFonts w:hint="eastAsia" w:ascii="宋体" w:hAnsi="宋体" w:eastAsia="宋体" w:cs="Calibri"/>
          <w:szCs w:val="21"/>
        </w:rPr>
        <w:t>未进行整改的，给</w:t>
      </w:r>
      <w:r>
        <w:rPr>
          <w:rFonts w:hint="eastAsia"/>
        </w:rPr>
        <w:t>予工区项目部0.5万元～2万元处罚。对提出整改要求，仍不整改继续使用的工区项目部，给予1万元～5万元处罚。</w:t>
      </w:r>
    </w:p>
    <w:p>
      <w:pPr>
        <w:widowControl w:val="0"/>
        <w:ind w:firstLine="480"/>
      </w:pPr>
      <w:r>
        <w:rPr>
          <w:rFonts w:hint="eastAsia"/>
        </w:rPr>
        <w:t>（十二）易燃易爆物品管理和存放、爆炸作业等违反国家相</w:t>
      </w:r>
      <w:r>
        <w:rPr>
          <w:rFonts w:hint="eastAsia" w:ascii="宋体" w:hAnsi="宋体" w:eastAsia="宋体" w:cs="Calibri"/>
          <w:szCs w:val="21"/>
        </w:rPr>
        <w:t>关规定的，给予工区项目部</w:t>
      </w:r>
      <w:r>
        <w:rPr>
          <w:rFonts w:hint="eastAsia"/>
        </w:rPr>
        <w:t>1万元～5万元处罚。</w:t>
      </w:r>
    </w:p>
    <w:p>
      <w:pPr>
        <w:widowControl w:val="0"/>
        <w:ind w:firstLine="480"/>
      </w:pPr>
      <w:r>
        <w:rPr>
          <w:rFonts w:hint="eastAsia" w:ascii="宋体" w:hAnsi="宋体" w:eastAsia="宋体" w:cs="Calibri"/>
          <w:szCs w:val="21"/>
        </w:rPr>
        <w:t>（十三）施工高大脚手架、模板、卸料平台等承重体系，不制订施工方案施工，或不按方案进行施工、</w:t>
      </w:r>
      <w:r>
        <w:rPr>
          <w:rFonts w:hint="eastAsia"/>
        </w:rPr>
        <w:t>或未验收就投入使用等违规行为的，给予工区项目部1万元～5万元处罚。对提出整改要求，仍不整改继续强行施工的工区项目部，给予2万元～10万元处罚。</w:t>
      </w:r>
    </w:p>
    <w:p>
      <w:pPr>
        <w:widowControl w:val="0"/>
        <w:ind w:firstLine="480"/>
      </w:pPr>
      <w:r>
        <w:rPr>
          <w:rFonts w:hint="eastAsia"/>
        </w:rPr>
        <w:t>（十四）施工用电不符合《施工现场临时用电安全技术规范》，或使用不符合安全规范或明令禁止的电线（缆）、</w:t>
      </w:r>
      <w:r>
        <w:rPr>
          <w:rFonts w:hint="eastAsia" w:ascii="宋体" w:hAnsi="宋体" w:eastAsia="宋体" w:cs="Calibri"/>
          <w:szCs w:val="21"/>
        </w:rPr>
        <w:t>电</w:t>
      </w:r>
      <w:r>
        <w:rPr>
          <w:rFonts w:hint="eastAsia"/>
        </w:rPr>
        <w:t>器具等设备的，给予工区项目部1万元～5万元处罚。对提出整改要求，仍不整改的工区项目部，给予2万元～10万元处罚。</w:t>
      </w:r>
    </w:p>
    <w:p>
      <w:pPr>
        <w:widowControl w:val="0"/>
        <w:ind w:firstLine="480"/>
      </w:pPr>
      <w:r>
        <w:rPr>
          <w:rFonts w:hint="eastAsia"/>
        </w:rPr>
        <w:t>（十五）施工现场使用国家明令禁止或达不到安全、消防等级要求的材料，给予工区项目部1万元～5万元处罚。对提出整改要求，仍不整改继续使用的工区项目部，给予2万元～10万元处罚。</w:t>
      </w:r>
    </w:p>
    <w:p>
      <w:pPr>
        <w:widowControl w:val="0"/>
        <w:ind w:firstLine="480"/>
        <w:rPr>
          <w:rFonts w:ascii="宋体" w:hAnsi="宋体" w:eastAsia="宋体" w:cs="Calibri"/>
          <w:szCs w:val="21"/>
        </w:rPr>
      </w:pPr>
      <w:r>
        <w:rPr>
          <w:rFonts w:hint="eastAsia"/>
        </w:rPr>
        <w:t>（十六）施工区域违章搭设或住人（值守人员除外）的，给予工区项目部1万元～5万元的处罚。对提出整改要求，仍不整</w:t>
      </w:r>
      <w:r>
        <w:rPr>
          <w:rFonts w:hint="eastAsia" w:ascii="宋体" w:hAnsi="宋体" w:eastAsia="宋体" w:cs="Calibri"/>
          <w:szCs w:val="21"/>
        </w:rPr>
        <w:t>改的工区项目部，给予</w:t>
      </w:r>
      <w:r>
        <w:rPr>
          <w:rFonts w:hint="eastAsia" w:eastAsia="宋体"/>
          <w:szCs w:val="21"/>
        </w:rPr>
        <w:t>2万元～</w:t>
      </w:r>
      <w:r>
        <w:rPr>
          <w:rFonts w:eastAsia="宋体"/>
          <w:szCs w:val="21"/>
        </w:rPr>
        <w:t>10</w:t>
      </w:r>
      <w:r>
        <w:rPr>
          <w:rFonts w:hint="eastAsia" w:ascii="宋体" w:hAnsi="宋体" w:eastAsia="宋体" w:cs="Calibri"/>
          <w:szCs w:val="21"/>
        </w:rPr>
        <w:t>万元处罚。</w:t>
      </w:r>
    </w:p>
    <w:p>
      <w:pPr>
        <w:widowControl w:val="0"/>
        <w:ind w:firstLine="480"/>
      </w:pPr>
      <w:r>
        <w:rPr>
          <w:rFonts w:hint="eastAsia" w:ascii="宋体" w:hAnsi="宋体" w:eastAsia="宋体" w:cs="Calibri"/>
          <w:szCs w:val="21"/>
        </w:rPr>
        <w:t>（十七）施工现场人员不戴安全帽的，按实际人数给予</w:t>
      </w:r>
      <w:r>
        <w:rPr>
          <w:rFonts w:hint="eastAsia"/>
        </w:rPr>
        <w:t>300元</w:t>
      </w:r>
      <w:r>
        <w:rPr>
          <w:rFonts w:hint="eastAsia" w:ascii="宋体" w:hAnsi="宋体" w:eastAsia="宋体" w:cs="Calibri"/>
          <w:szCs w:val="21"/>
        </w:rPr>
        <w:t>/每人处罚，超过</w:t>
      </w:r>
      <w:r>
        <w:rPr>
          <w:rFonts w:hint="eastAsia"/>
        </w:rPr>
        <w:t>3人，直接给予工区项目部0.5万元～2万元的处罚；高空（架）作业不系安全带的，按实际人数给予500元/每人处罚，超过3人，直接给予工区项目部0.5万元～2万元的处罚。特种作业人员未持证上岗，按1000元/每人处罚。</w:t>
      </w:r>
    </w:p>
    <w:p>
      <w:pPr>
        <w:widowControl w:val="0"/>
        <w:ind w:firstLine="480"/>
      </w:pPr>
      <w:r>
        <w:rPr>
          <w:rFonts w:hint="eastAsia" w:ascii="宋体" w:hAnsi="宋体" w:eastAsia="宋体" w:cs="Calibri"/>
          <w:szCs w:val="21"/>
        </w:rPr>
        <w:t>（十八）“洞口、临边”无防护栏</w:t>
      </w:r>
      <w:r>
        <w:rPr>
          <w:rFonts w:hint="eastAsia"/>
        </w:rPr>
        <w:t>（网）、未按规定搭设合格的安全棚、网搭等的，给予工区项目部0.2万元的处罚，超过3处，直接给予工区项目部0.5万元～2万元的处罚。对提出整改要求，仍不整改的工区项目部，给予1万元～5万元处罚。</w:t>
      </w:r>
    </w:p>
    <w:p>
      <w:pPr>
        <w:widowControl w:val="0"/>
        <w:ind w:firstLine="480"/>
      </w:pPr>
      <w:r>
        <w:rPr>
          <w:rFonts w:hint="eastAsia" w:ascii="宋体" w:hAnsi="宋体" w:eastAsia="宋体" w:cs="Calibri"/>
          <w:szCs w:val="21"/>
        </w:rPr>
        <w:t>（十九）主干道施工不按照交通组织方案进</w:t>
      </w:r>
      <w:r>
        <w:rPr>
          <w:rFonts w:hint="eastAsia"/>
        </w:rPr>
        <w:t>行，或因措施不得力，严重影响交通秩序，或被媒体曝光，造成不良社会影响的，每发生一次处罚0.5万元～2万元。对提出整改要求，仍不整改的工区项目部，给予1万元～5万元处罚。</w:t>
      </w:r>
    </w:p>
    <w:p>
      <w:pPr>
        <w:widowControl w:val="0"/>
        <w:ind w:firstLine="480"/>
        <w:rPr>
          <w:rFonts w:ascii="宋体" w:hAnsi="宋体" w:eastAsia="宋体" w:cs="Calibri"/>
          <w:szCs w:val="21"/>
        </w:rPr>
      </w:pPr>
      <w:r>
        <w:rPr>
          <w:rFonts w:hint="eastAsia" w:ascii="宋体" w:hAnsi="宋体" w:eastAsia="宋体" w:cs="Calibri"/>
          <w:szCs w:val="21"/>
        </w:rPr>
        <w:t>（二十）其他违反国家、地方相关安全管理规定的行为，依据情况，给予违规工区项目部</w:t>
      </w:r>
      <w:r>
        <w:rPr>
          <w:rFonts w:hint="eastAsia"/>
        </w:rPr>
        <w:t>1万元～5万元</w:t>
      </w:r>
      <w:r>
        <w:rPr>
          <w:rFonts w:hint="eastAsia" w:ascii="宋体" w:hAnsi="宋体" w:eastAsia="宋体" w:cs="Calibri"/>
          <w:szCs w:val="21"/>
        </w:rPr>
        <w:t>处罚。</w:t>
      </w:r>
    </w:p>
    <w:p>
      <w:pPr>
        <w:widowControl w:val="0"/>
        <w:ind w:firstLine="482"/>
        <w:rPr>
          <w:rFonts w:ascii="宋体" w:hAnsi="宋体" w:eastAsia="宋体" w:cs="Calibri"/>
          <w:szCs w:val="21"/>
        </w:rPr>
      </w:pPr>
      <w:r>
        <w:rPr>
          <w:rFonts w:hint="eastAsia" w:ascii="宋体" w:hAnsi="宋体" w:eastAsia="宋体" w:cs="Calibri"/>
          <w:b/>
          <w:bCs/>
          <w:szCs w:val="21"/>
        </w:rPr>
        <w:t>第五条</w:t>
      </w:r>
      <w:r>
        <w:rPr>
          <w:rFonts w:hint="eastAsia" w:ascii="宋体" w:hAnsi="宋体" w:eastAsia="宋体" w:cs="Calibri"/>
          <w:szCs w:val="21"/>
        </w:rPr>
        <w:t xml:space="preserve"> 质量管理方面</w:t>
      </w:r>
    </w:p>
    <w:p>
      <w:pPr>
        <w:widowControl w:val="0"/>
        <w:numPr>
          <w:ilvl w:val="0"/>
          <w:numId w:val="5"/>
        </w:numPr>
        <w:ind w:firstLine="480"/>
      </w:pPr>
      <w:r>
        <w:rPr>
          <w:rFonts w:hint="eastAsia" w:ascii="宋体" w:hAnsi="宋体" w:eastAsia="宋体" w:cs="Calibri"/>
          <w:szCs w:val="21"/>
        </w:rPr>
        <w:t>质量管理体系不健全、不完善，不能有效运行，给予工区项目部</w:t>
      </w:r>
      <w:r>
        <w:rPr>
          <w:rFonts w:hint="eastAsia"/>
        </w:rPr>
        <w:t>3万元～5万元处罚。</w:t>
      </w:r>
    </w:p>
    <w:p>
      <w:pPr>
        <w:widowControl w:val="0"/>
        <w:numPr>
          <w:ilvl w:val="0"/>
          <w:numId w:val="5"/>
        </w:numPr>
        <w:ind w:firstLine="480"/>
        <w:rPr>
          <w:rFonts w:ascii="宋体" w:hAnsi="宋体" w:eastAsia="宋体" w:cs="Calibri"/>
          <w:szCs w:val="21"/>
        </w:rPr>
      </w:pPr>
      <w:r>
        <w:rPr>
          <w:rFonts w:hint="eastAsia" w:ascii="宋体" w:hAnsi="宋体" w:eastAsia="宋体" w:cs="Calibri"/>
          <w:szCs w:val="21"/>
        </w:rPr>
        <w:t>未严格执行台州市域铁路</w:t>
      </w:r>
      <w:r>
        <w:rPr>
          <w:rFonts w:hint="eastAsia"/>
        </w:rPr>
        <w:t>S1线一期PPP项目工程总承包部质量管理制度，给予工区项目部3万元～5万元处罚</w:t>
      </w:r>
      <w:r>
        <w:rPr>
          <w:rFonts w:hint="eastAsia" w:ascii="宋体" w:hAnsi="宋体" w:eastAsia="宋体" w:cs="Calibri"/>
          <w:szCs w:val="21"/>
        </w:rPr>
        <w:t>。</w:t>
      </w:r>
    </w:p>
    <w:p>
      <w:pPr>
        <w:widowControl w:val="0"/>
        <w:numPr>
          <w:ilvl w:val="0"/>
          <w:numId w:val="5"/>
        </w:numPr>
        <w:ind w:firstLine="480"/>
        <w:rPr>
          <w:rFonts w:ascii="宋体" w:hAnsi="宋体" w:eastAsia="宋体" w:cs="Calibri"/>
          <w:szCs w:val="21"/>
        </w:rPr>
      </w:pPr>
      <w:r>
        <w:rPr>
          <w:rFonts w:hint="eastAsia" w:ascii="宋体" w:hAnsi="宋体" w:eastAsia="宋体" w:cs="Calibri"/>
          <w:szCs w:val="21"/>
        </w:rPr>
        <w:t>试验管理人员配置未能满足现场需要的，给予</w:t>
      </w:r>
      <w:r>
        <w:rPr>
          <w:rFonts w:hint="eastAsia"/>
        </w:rPr>
        <w:t>3万元～5万元/次的处罚</w:t>
      </w:r>
      <w:r>
        <w:rPr>
          <w:rFonts w:hint="eastAsia" w:ascii="宋体" w:hAnsi="宋体" w:eastAsia="宋体" w:cs="Calibri"/>
          <w:szCs w:val="21"/>
        </w:rPr>
        <w:t>。</w:t>
      </w:r>
    </w:p>
    <w:p>
      <w:pPr>
        <w:widowControl w:val="0"/>
        <w:numPr>
          <w:ilvl w:val="0"/>
          <w:numId w:val="5"/>
        </w:numPr>
        <w:ind w:firstLine="480"/>
        <w:rPr>
          <w:rFonts w:ascii="宋体" w:hAnsi="宋体" w:eastAsia="宋体" w:cs="Calibri"/>
          <w:szCs w:val="21"/>
        </w:rPr>
      </w:pPr>
      <w:r>
        <w:rPr>
          <w:rFonts w:hint="eastAsia" w:ascii="宋体" w:hAnsi="宋体" w:eastAsia="宋体" w:cs="Calibri"/>
          <w:szCs w:val="21"/>
        </w:rPr>
        <w:t>违反工程建设强制性标准，未严格执行设计文件（含变更）及相关规范标准，施工组织设计、专项方案（含加固修补方案）等未经监理工程师审批同意进行施工或未严格按照审批的方案进行施工等，给予工区项目部</w:t>
      </w:r>
      <w:r>
        <w:rPr>
          <w:rFonts w:hint="eastAsia"/>
        </w:rPr>
        <w:t>1万元～5万元处罚。对提出整改要求，仍不整改的工区项目部，给予2万元～10</w:t>
      </w:r>
      <w:r>
        <w:rPr>
          <w:rFonts w:hint="eastAsia" w:ascii="宋体" w:hAnsi="宋体" w:eastAsia="宋体" w:cs="Calibri"/>
          <w:szCs w:val="21"/>
        </w:rPr>
        <w:t>万元处罚。</w:t>
      </w:r>
    </w:p>
    <w:p>
      <w:pPr>
        <w:widowControl w:val="0"/>
        <w:numPr>
          <w:ilvl w:val="0"/>
          <w:numId w:val="5"/>
        </w:numPr>
        <w:ind w:firstLine="480"/>
      </w:pPr>
      <w:r>
        <w:rPr>
          <w:rFonts w:hint="eastAsia" w:ascii="宋体" w:hAnsi="宋体" w:eastAsia="宋体" w:cs="Calibri"/>
          <w:szCs w:val="21"/>
        </w:rPr>
        <w:t>原材料先用后检，进入施工现场的原材料、半成品、构配件及相关设备产品等不符合设计及合同要求，原材料、半成品、构配件及相关设备产品等的质量证明文件、操作说明书等配套文件不齐全，原材料、半成品、构配件及相关设备</w:t>
      </w:r>
      <w:r>
        <w:rPr>
          <w:rFonts w:hint="eastAsia"/>
        </w:rPr>
        <w:t>产品等无入库和领用记录或记录不规范，导致使用后无追溯性，给予工区项目部1万元～5万元处罚。对提出整改要求，仍不整改的工区项目部，给予2万元～10万元处罚。</w:t>
      </w:r>
    </w:p>
    <w:p>
      <w:pPr>
        <w:widowControl w:val="0"/>
        <w:numPr>
          <w:ilvl w:val="0"/>
          <w:numId w:val="5"/>
        </w:numPr>
        <w:ind w:firstLine="480"/>
        <w:rPr>
          <w:rFonts w:ascii="宋体" w:hAnsi="宋体" w:eastAsia="宋体" w:cs="Calibri"/>
          <w:szCs w:val="21"/>
        </w:rPr>
      </w:pPr>
      <w:r>
        <w:rPr>
          <w:rFonts w:hint="eastAsia" w:ascii="宋体" w:hAnsi="宋体" w:eastAsia="宋体" w:cs="Calibri"/>
          <w:szCs w:val="21"/>
        </w:rPr>
        <w:t>不合格的原材料</w:t>
      </w:r>
      <w:r>
        <w:rPr>
          <w:rFonts w:hint="eastAsia"/>
        </w:rPr>
        <w:t>、半成品、构配件及相关设备产品等用于工程上，给予工区项目部6万元～10万元处罚。</w:t>
      </w:r>
    </w:p>
    <w:p>
      <w:pPr>
        <w:widowControl w:val="0"/>
        <w:numPr>
          <w:ilvl w:val="0"/>
          <w:numId w:val="5"/>
        </w:numPr>
        <w:ind w:firstLine="480"/>
      </w:pPr>
      <w:r>
        <w:rPr>
          <w:rFonts w:hint="eastAsia" w:ascii="宋体" w:hAnsi="宋体" w:eastAsia="宋体" w:cs="Calibri"/>
          <w:szCs w:val="21"/>
        </w:rPr>
        <w:t>成品、半成品、构配件及相关设备产品保护不到位，给</w:t>
      </w:r>
      <w:r>
        <w:rPr>
          <w:rFonts w:hint="eastAsia"/>
        </w:rPr>
        <w:t>予工区项目部1万元～5万元处罚。</w:t>
      </w:r>
    </w:p>
    <w:p>
      <w:pPr>
        <w:widowControl w:val="0"/>
        <w:numPr>
          <w:ilvl w:val="0"/>
          <w:numId w:val="5"/>
        </w:numPr>
        <w:ind w:firstLine="480"/>
      </w:pPr>
      <w:r>
        <w:rPr>
          <w:rFonts w:hint="eastAsia" w:ascii="宋体" w:hAnsi="宋体" w:eastAsia="宋体" w:cs="Calibri"/>
          <w:szCs w:val="21"/>
        </w:rPr>
        <w:t>委托检测的参数不全或不符合设计及规范要求，给</w:t>
      </w:r>
      <w:r>
        <w:rPr>
          <w:rFonts w:hint="eastAsia"/>
        </w:rPr>
        <w:t>予工区项目部1万元～2万元处罚。</w:t>
      </w:r>
    </w:p>
    <w:p>
      <w:pPr>
        <w:widowControl w:val="0"/>
        <w:numPr>
          <w:ilvl w:val="0"/>
          <w:numId w:val="5"/>
        </w:numPr>
        <w:ind w:firstLine="480"/>
      </w:pPr>
      <w:r>
        <w:rPr>
          <w:rFonts w:hint="eastAsia" w:ascii="宋体" w:hAnsi="宋体" w:eastAsia="宋体" w:cs="Calibri"/>
          <w:szCs w:val="21"/>
        </w:rPr>
        <w:t>未严格执行报验（含测量报验）程序，给予工区项目部</w:t>
      </w:r>
      <w:r>
        <w:rPr>
          <w:rFonts w:hint="eastAsia"/>
        </w:rPr>
        <w:t>1万元～2万元处罚。</w:t>
      </w:r>
    </w:p>
    <w:p>
      <w:pPr>
        <w:widowControl w:val="0"/>
        <w:numPr>
          <w:ilvl w:val="0"/>
          <w:numId w:val="5"/>
        </w:numPr>
        <w:ind w:firstLine="480"/>
      </w:pPr>
      <w:r>
        <w:rPr>
          <w:rFonts w:hint="eastAsia" w:ascii="宋体" w:hAnsi="宋体" w:eastAsia="宋体" w:cs="Calibri"/>
          <w:szCs w:val="21"/>
        </w:rPr>
        <w:t>实验仪器、测量仪器未及</w:t>
      </w:r>
      <w:r>
        <w:rPr>
          <w:rFonts w:hint="eastAsia"/>
        </w:rPr>
        <w:t>时检定、校准或超出检定周期，给予工区项目部1万元～5万元处罚。</w:t>
      </w:r>
    </w:p>
    <w:p>
      <w:pPr>
        <w:widowControl w:val="0"/>
        <w:numPr>
          <w:ilvl w:val="0"/>
          <w:numId w:val="5"/>
        </w:numPr>
        <w:ind w:firstLine="480"/>
      </w:pPr>
      <w:r>
        <w:rPr>
          <w:rFonts w:hint="eastAsia" w:ascii="宋体" w:hAnsi="宋体" w:eastAsia="宋体" w:cs="Calibri"/>
          <w:szCs w:val="21"/>
        </w:rPr>
        <w:t>工程资料与施工进度不同步，施</w:t>
      </w:r>
      <w:r>
        <w:rPr>
          <w:rFonts w:hint="eastAsia"/>
        </w:rPr>
        <w:t>工日志无记录、记录不全，给予工区项目部1万元～2万元处罚。对提出整改要求，仍不整改的工区项目部，给予2万元～5万元处罚。</w:t>
      </w:r>
    </w:p>
    <w:p>
      <w:pPr>
        <w:widowControl w:val="0"/>
        <w:numPr>
          <w:ilvl w:val="0"/>
          <w:numId w:val="5"/>
        </w:numPr>
        <w:ind w:firstLine="480"/>
      </w:pPr>
      <w:r>
        <w:rPr>
          <w:rFonts w:hint="eastAsia" w:ascii="宋体" w:hAnsi="宋体" w:eastAsia="宋体" w:cs="Calibri"/>
          <w:szCs w:val="21"/>
        </w:rPr>
        <w:t>工程资料弄虚作假，隐</w:t>
      </w:r>
      <w:r>
        <w:rPr>
          <w:rFonts w:hint="eastAsia"/>
        </w:rPr>
        <w:t>蔽工程无影像资料或影像资料弄虚作假，给予工区项目部1万元～5万元处罚。对提出整改要求，仍不整改的工区项目部，给予2万元～10万元处罚。</w:t>
      </w:r>
    </w:p>
    <w:p>
      <w:pPr>
        <w:widowControl w:val="0"/>
        <w:numPr>
          <w:ilvl w:val="0"/>
          <w:numId w:val="5"/>
        </w:numPr>
        <w:ind w:firstLine="480"/>
      </w:pPr>
      <w:r>
        <w:rPr>
          <w:rFonts w:hint="eastAsia" w:ascii="宋体" w:hAnsi="宋体" w:eastAsia="宋体" w:cs="Calibri"/>
          <w:szCs w:val="21"/>
        </w:rPr>
        <w:t>工程外观质量不满足设计及规</w:t>
      </w:r>
      <w:r>
        <w:rPr>
          <w:rFonts w:hint="eastAsia"/>
        </w:rPr>
        <w:t>范要求，给予工区项目部1万元～2万元处罚。</w:t>
      </w:r>
    </w:p>
    <w:p>
      <w:pPr>
        <w:widowControl w:val="0"/>
        <w:numPr>
          <w:ilvl w:val="0"/>
          <w:numId w:val="5"/>
        </w:numPr>
        <w:ind w:firstLine="480"/>
      </w:pPr>
      <w:r>
        <w:rPr>
          <w:rFonts w:hint="eastAsia" w:ascii="宋体" w:hAnsi="宋体" w:eastAsia="宋体" w:cs="Calibri"/>
          <w:szCs w:val="21"/>
        </w:rPr>
        <w:t>对工程弄虚作假、偷工减料</w:t>
      </w:r>
      <w:r>
        <w:rPr>
          <w:rFonts w:hint="eastAsia"/>
        </w:rPr>
        <w:t>的，给予工区项目部10万元～20万元处罚。</w:t>
      </w:r>
    </w:p>
    <w:p>
      <w:pPr>
        <w:widowControl w:val="0"/>
        <w:numPr>
          <w:ilvl w:val="0"/>
          <w:numId w:val="5"/>
        </w:numPr>
        <w:ind w:firstLine="480"/>
      </w:pPr>
      <w:r>
        <w:rPr>
          <w:rFonts w:hint="eastAsia" w:ascii="宋体" w:hAnsi="宋体" w:eastAsia="宋体" w:cs="Calibri"/>
          <w:szCs w:val="21"/>
        </w:rPr>
        <w:t>工程验收滞后或未严格执</w:t>
      </w:r>
      <w:r>
        <w:rPr>
          <w:rFonts w:hint="eastAsia"/>
        </w:rPr>
        <w:t>行验收计划，给予工区项目部1万元～10万元处罚。</w:t>
      </w:r>
    </w:p>
    <w:p>
      <w:pPr>
        <w:widowControl w:val="0"/>
        <w:numPr>
          <w:ilvl w:val="0"/>
          <w:numId w:val="5"/>
        </w:numPr>
        <w:ind w:firstLine="480"/>
        <w:rPr>
          <w:rFonts w:ascii="宋体" w:hAnsi="宋体" w:eastAsia="宋体" w:cs="Calibri"/>
          <w:szCs w:val="21"/>
        </w:rPr>
      </w:pPr>
      <w:r>
        <w:rPr>
          <w:rFonts w:hint="eastAsia" w:ascii="宋体" w:hAnsi="宋体" w:eastAsia="宋体" w:cs="Calibri"/>
          <w:szCs w:val="21"/>
        </w:rPr>
        <w:t>因质量问题或事故影响轨</w:t>
      </w:r>
      <w:r>
        <w:rPr>
          <w:rFonts w:hint="eastAsia"/>
        </w:rPr>
        <w:t>道交通工程参加地方及国家的评优、评奖的，每次处以违约金5万元～10万元。</w:t>
      </w:r>
    </w:p>
    <w:p>
      <w:pPr>
        <w:widowControl w:val="0"/>
        <w:ind w:firstLine="482"/>
        <w:rPr>
          <w:rFonts w:ascii="宋体" w:hAnsi="宋体" w:eastAsia="宋体" w:cs="Calibri"/>
          <w:szCs w:val="21"/>
        </w:rPr>
      </w:pPr>
      <w:r>
        <w:rPr>
          <w:rFonts w:hint="eastAsia" w:ascii="宋体" w:hAnsi="宋体" w:eastAsia="宋体" w:cs="Calibri"/>
          <w:b/>
          <w:bCs/>
          <w:szCs w:val="21"/>
        </w:rPr>
        <w:t>第六条</w:t>
      </w:r>
      <w:r>
        <w:rPr>
          <w:rFonts w:hint="eastAsia" w:ascii="宋体" w:hAnsi="宋体" w:eastAsia="宋体" w:cs="Calibri"/>
          <w:szCs w:val="21"/>
        </w:rPr>
        <w:t xml:space="preserve"> 文明施工方面</w:t>
      </w:r>
    </w:p>
    <w:p>
      <w:pPr>
        <w:widowControl w:val="0"/>
        <w:ind w:firstLine="480"/>
      </w:pPr>
      <w:r>
        <w:rPr>
          <w:rFonts w:hint="eastAsia" w:ascii="宋体" w:hAnsi="宋体" w:eastAsia="宋体" w:cs="Calibri"/>
          <w:szCs w:val="21"/>
        </w:rPr>
        <w:t>（一）施工现场未按规定制作围挡</w:t>
      </w:r>
      <w:r>
        <w:rPr>
          <w:rFonts w:hint="eastAsia"/>
        </w:rPr>
        <w:t>或围挡不规范的，给予工区项目部0.5万元～3万元处罚。对提出整改要求，仍不整改的工区项目部，给予1万元～5万元处罚。</w:t>
      </w:r>
    </w:p>
    <w:p>
      <w:pPr>
        <w:widowControl w:val="0"/>
        <w:ind w:firstLine="480"/>
      </w:pPr>
      <w:r>
        <w:rPr>
          <w:rFonts w:hint="eastAsia" w:ascii="宋体" w:hAnsi="宋体" w:eastAsia="宋体" w:cs="Calibri"/>
          <w:szCs w:val="21"/>
        </w:rPr>
        <w:t>（二）大门、门口无企业标志、门前</w:t>
      </w:r>
      <w:r>
        <w:rPr>
          <w:rFonts w:hint="eastAsia"/>
        </w:rPr>
        <w:t>无宣传标语、不按规定设置“八牌两图”、无门卫及出入管理制度的，给予工区项目部0.5万元～2万元处罚。对提出整改要求，仍不整改的工区项目部，给予1万元～5万元处罚。</w:t>
      </w:r>
    </w:p>
    <w:p>
      <w:pPr>
        <w:widowControl w:val="0"/>
        <w:ind w:firstLine="480"/>
      </w:pPr>
      <w:r>
        <w:rPr>
          <w:rFonts w:hint="eastAsia" w:ascii="宋体" w:hAnsi="宋体" w:eastAsia="宋体" w:cs="Calibri"/>
          <w:szCs w:val="21"/>
        </w:rPr>
        <w:t>（三）施工现场道路、材料堆放场地及出入口未硬化，未设车辆冲洗设施、排水沟、沉砂井等设施，运输材料、预拌砼、渣土、垃圾车辆未按规定加盖，泥沙随车轮带出场外，影</w:t>
      </w:r>
      <w:r>
        <w:rPr>
          <w:rFonts w:hint="eastAsia"/>
        </w:rPr>
        <w:t>响市容卫生或因违规作业被相关部门查处的，给予工区项目部0.5万元～2万元的处罚。对提出整改要求，仍不整改的工区项目部，给予1万元～5万元处罚。</w:t>
      </w:r>
    </w:p>
    <w:p>
      <w:pPr>
        <w:widowControl w:val="0"/>
        <w:ind w:firstLine="480"/>
      </w:pPr>
      <w:r>
        <w:rPr>
          <w:rFonts w:hint="eastAsia" w:ascii="宋体" w:hAnsi="宋体" w:eastAsia="宋体" w:cs="Calibri"/>
          <w:szCs w:val="21"/>
        </w:rPr>
        <w:t>（四）生产现场作业场</w:t>
      </w:r>
      <w:r>
        <w:rPr>
          <w:rFonts w:hint="eastAsia"/>
        </w:rPr>
        <w:t>所脏乱，生活垃圾、施工垃圾未容积化处理或清理不及时的，给予工区项目部0.5万元～3万元处罚，对未及时发现和制止的监理单位给予0.2万元～1万元处罚。对提出整改要求，仍不整改的工区项目部，给予1万元～5万元处罚。</w:t>
      </w:r>
    </w:p>
    <w:p>
      <w:pPr>
        <w:widowControl w:val="0"/>
        <w:ind w:firstLine="480"/>
        <w:rPr>
          <w:rFonts w:ascii="宋体" w:hAnsi="宋体" w:eastAsia="宋体" w:cs="Calibri"/>
          <w:szCs w:val="21"/>
        </w:rPr>
      </w:pPr>
      <w:r>
        <w:rPr>
          <w:rFonts w:hint="eastAsia" w:ascii="宋体" w:hAnsi="宋体" w:eastAsia="宋体" w:cs="Calibri"/>
          <w:szCs w:val="21"/>
        </w:rPr>
        <w:t>（五）施工作业其他违反</w:t>
      </w:r>
      <w:r>
        <w:rPr>
          <w:rFonts w:hint="eastAsia"/>
        </w:rPr>
        <w:t>国家、地方文明施工规范的行为，违反一次，给予工区项目部0.5万元～3万元处罚。若发生环境污染事件导致承包人被环境保护部门处以整改等执行意见，每发生一次按合同额的千分之一（1‰）进行违</w:t>
      </w:r>
      <w:r>
        <w:rPr>
          <w:rFonts w:hint="eastAsia" w:ascii="宋体" w:hAnsi="宋体" w:eastAsia="宋体" w:cs="Calibri"/>
          <w:szCs w:val="21"/>
        </w:rPr>
        <w:t>约处罚。</w:t>
      </w:r>
    </w:p>
    <w:p>
      <w:pPr>
        <w:widowControl w:val="0"/>
        <w:ind w:firstLine="482"/>
        <w:rPr>
          <w:rFonts w:ascii="宋体" w:hAnsi="宋体" w:eastAsia="宋体" w:cs="Calibri"/>
          <w:szCs w:val="21"/>
        </w:rPr>
      </w:pPr>
      <w:r>
        <w:rPr>
          <w:rFonts w:hint="eastAsia" w:ascii="宋体" w:hAnsi="宋体" w:eastAsia="宋体" w:cs="Calibri"/>
          <w:b/>
          <w:bCs/>
          <w:szCs w:val="21"/>
        </w:rPr>
        <w:t>第七条</w:t>
      </w:r>
      <w:r>
        <w:rPr>
          <w:rFonts w:hint="eastAsia" w:ascii="宋体" w:hAnsi="宋体" w:eastAsia="宋体" w:cs="Calibri"/>
          <w:szCs w:val="21"/>
        </w:rPr>
        <w:t xml:space="preserve"> 消防及治安管理方面</w:t>
      </w:r>
    </w:p>
    <w:p>
      <w:pPr>
        <w:widowControl w:val="0"/>
        <w:ind w:firstLine="480"/>
      </w:pPr>
      <w:r>
        <w:rPr>
          <w:rFonts w:hint="eastAsia" w:ascii="宋体" w:hAnsi="宋体" w:eastAsia="宋体" w:cs="Calibri"/>
          <w:szCs w:val="21"/>
        </w:rPr>
        <w:t>（一）施工现场存在严重火灾隐患，限期未整改的，给</w:t>
      </w:r>
      <w:r>
        <w:rPr>
          <w:rFonts w:hint="eastAsia"/>
        </w:rPr>
        <w:t>予工区项目部1万元～5万元处罚。</w:t>
      </w:r>
    </w:p>
    <w:p>
      <w:pPr>
        <w:widowControl w:val="0"/>
        <w:ind w:firstLine="480"/>
        <w:rPr>
          <w:rFonts w:ascii="宋体" w:hAnsi="宋体" w:eastAsia="宋体" w:cs="Calibri"/>
          <w:szCs w:val="21"/>
        </w:rPr>
      </w:pPr>
      <w:r>
        <w:rPr>
          <w:rFonts w:hint="eastAsia" w:ascii="宋体" w:hAnsi="宋体" w:eastAsia="宋体" w:cs="Calibri"/>
          <w:szCs w:val="21"/>
        </w:rPr>
        <w:t>（二）施工现场消防设施、器材或者消防安全标志的配置、设置不符合国家标准、行业标准，或者未保持完好有效的，给予工区项目部</w:t>
      </w:r>
      <w:r>
        <w:rPr>
          <w:rFonts w:hint="eastAsia"/>
        </w:rPr>
        <w:t>0.3万元～2万元处罚</w:t>
      </w:r>
      <w:r>
        <w:rPr>
          <w:rFonts w:hint="eastAsia" w:ascii="宋体" w:hAnsi="宋体" w:eastAsia="宋体" w:cs="Calibri"/>
          <w:szCs w:val="21"/>
        </w:rPr>
        <w:t>。</w:t>
      </w:r>
    </w:p>
    <w:p>
      <w:pPr>
        <w:widowControl w:val="0"/>
        <w:ind w:firstLine="480"/>
        <w:rPr>
          <w:rFonts w:ascii="宋体" w:hAnsi="宋体" w:eastAsia="宋体" w:cs="Calibri"/>
          <w:szCs w:val="21"/>
        </w:rPr>
      </w:pPr>
      <w:r>
        <w:rPr>
          <w:rFonts w:hint="eastAsia" w:ascii="宋体" w:hAnsi="宋体" w:eastAsia="宋体" w:cs="Calibri"/>
          <w:szCs w:val="21"/>
        </w:rPr>
        <w:t>（三）占用、堵塞、</w:t>
      </w:r>
      <w:r>
        <w:rPr>
          <w:rFonts w:hint="eastAsia"/>
        </w:rPr>
        <w:t>封闭疏散通道、安全出口或者有其他妨碍安全疏散行为，限期未整改的，给予工区项目部0.5～2万元</w:t>
      </w:r>
      <w:r>
        <w:rPr>
          <w:rFonts w:hint="eastAsia" w:ascii="宋体" w:hAnsi="宋体" w:eastAsia="宋体" w:cs="Calibri"/>
          <w:szCs w:val="21"/>
        </w:rPr>
        <w:t>。</w:t>
      </w:r>
    </w:p>
    <w:p>
      <w:pPr>
        <w:widowControl w:val="0"/>
        <w:ind w:firstLine="480"/>
        <w:rPr>
          <w:rFonts w:ascii="宋体" w:hAnsi="宋体" w:eastAsia="宋体" w:cs="Calibri"/>
          <w:szCs w:val="21"/>
        </w:rPr>
      </w:pPr>
      <w:r>
        <w:rPr>
          <w:rFonts w:hint="eastAsia" w:ascii="宋体" w:hAnsi="宋体" w:eastAsia="宋体" w:cs="Calibri"/>
          <w:szCs w:val="21"/>
        </w:rPr>
        <w:t>（四）动火作业中，违反《建筑工程施工现场消防安全技术规范》规定的，给予工区项目部</w:t>
      </w:r>
      <w:r>
        <w:rPr>
          <w:rFonts w:hint="eastAsia"/>
        </w:rPr>
        <w:t>1万元～5万元处罚。</w:t>
      </w:r>
    </w:p>
    <w:p>
      <w:pPr>
        <w:widowControl w:val="0"/>
        <w:ind w:firstLine="480"/>
        <w:rPr>
          <w:rFonts w:ascii="宋体" w:hAnsi="宋体" w:eastAsia="宋体" w:cs="Calibri"/>
          <w:szCs w:val="21"/>
        </w:rPr>
      </w:pPr>
      <w:r>
        <w:rPr>
          <w:rFonts w:hint="eastAsia" w:ascii="宋体" w:hAnsi="宋体" w:eastAsia="宋体" w:cs="Calibri"/>
          <w:szCs w:val="21"/>
        </w:rPr>
        <w:t>（五）在施工作业中违反国家、地方消防管理规定的其他行为，发现一次，给予工区项目部</w:t>
      </w:r>
      <w:r>
        <w:rPr>
          <w:rFonts w:hint="eastAsia"/>
        </w:rPr>
        <w:t>0.5～4万元处罚。</w:t>
      </w:r>
    </w:p>
    <w:p>
      <w:pPr>
        <w:widowControl w:val="0"/>
        <w:ind w:firstLine="480"/>
        <w:rPr>
          <w:rFonts w:ascii="宋体" w:hAnsi="宋体" w:eastAsia="宋体" w:cs="Calibri"/>
          <w:szCs w:val="21"/>
        </w:rPr>
      </w:pPr>
      <w:r>
        <w:rPr>
          <w:rFonts w:hint="eastAsia" w:ascii="宋体" w:hAnsi="宋体" w:eastAsia="宋体" w:cs="Calibri"/>
          <w:szCs w:val="21"/>
        </w:rPr>
        <w:t>（六）发生打架、斗殴、赌博及其他恶性治安案件、或造成较大负面社会影响的其他事件，发生一次，给予工区项目部</w:t>
      </w:r>
      <w:r>
        <w:rPr>
          <w:rFonts w:hint="eastAsia"/>
        </w:rPr>
        <w:t>1万元～5万元处罚。</w:t>
      </w:r>
    </w:p>
    <w:p>
      <w:pPr>
        <w:widowControl w:val="0"/>
        <w:ind w:firstLine="482"/>
        <w:rPr>
          <w:rFonts w:ascii="宋体" w:hAnsi="宋体" w:eastAsia="宋体" w:cs="Calibri"/>
          <w:szCs w:val="21"/>
        </w:rPr>
      </w:pPr>
      <w:r>
        <w:rPr>
          <w:rFonts w:hint="eastAsia" w:ascii="宋体" w:hAnsi="宋体" w:eastAsia="宋体" w:cs="Calibri"/>
          <w:b/>
          <w:bCs/>
          <w:szCs w:val="21"/>
        </w:rPr>
        <w:t>第八条</w:t>
      </w:r>
      <w:r>
        <w:rPr>
          <w:rFonts w:hint="eastAsia" w:ascii="宋体" w:hAnsi="宋体" w:eastAsia="宋体" w:cs="Calibri"/>
          <w:szCs w:val="21"/>
        </w:rPr>
        <w:t xml:space="preserve"> 施工期间轨行区施工安全管理方面</w:t>
      </w:r>
    </w:p>
    <w:p>
      <w:pPr>
        <w:widowControl w:val="0"/>
        <w:ind w:firstLine="480"/>
      </w:pPr>
      <w:r>
        <w:rPr>
          <w:rFonts w:hint="eastAsia" w:ascii="宋体" w:hAnsi="宋体" w:eastAsia="宋体" w:cs="Calibri"/>
          <w:szCs w:val="21"/>
        </w:rPr>
        <w:t>（一）因轨行区施工未办理轨行区作业令，给予违规工区项目部</w:t>
      </w:r>
      <w:r>
        <w:rPr>
          <w:rFonts w:hint="eastAsia"/>
        </w:rPr>
        <w:t>1万元～5万元处罚。多次发生，加倍进行处罚。</w:t>
      </w:r>
    </w:p>
    <w:p>
      <w:pPr>
        <w:widowControl w:val="0"/>
        <w:ind w:firstLine="480"/>
        <w:rPr>
          <w:rFonts w:ascii="宋体" w:hAnsi="宋体" w:eastAsia="宋体" w:cs="Calibri"/>
          <w:szCs w:val="21"/>
        </w:rPr>
      </w:pPr>
      <w:r>
        <w:rPr>
          <w:rFonts w:hint="eastAsia" w:ascii="宋体" w:hAnsi="宋体" w:eastAsia="宋体" w:cs="Calibri"/>
          <w:szCs w:val="21"/>
        </w:rPr>
        <w:t>（二）轨行区作业未采取安全防护措施，不按规定设立警示标志、作业人员未戴安全帽、未穿戴荧光衣等，给予违规工区项目部</w:t>
      </w:r>
      <w:r>
        <w:rPr>
          <w:rFonts w:hint="eastAsia"/>
        </w:rPr>
        <w:t>0.5万元～2万元</w:t>
      </w:r>
      <w:r>
        <w:rPr>
          <w:rFonts w:hint="eastAsia" w:ascii="宋体" w:hAnsi="宋体" w:eastAsia="宋体" w:cs="Calibri"/>
          <w:szCs w:val="21"/>
        </w:rPr>
        <w:t>处罚。</w:t>
      </w:r>
    </w:p>
    <w:p>
      <w:pPr>
        <w:widowControl w:val="0"/>
        <w:ind w:firstLine="480"/>
        <w:rPr>
          <w:rFonts w:ascii="宋体" w:hAnsi="宋体" w:eastAsia="宋体" w:cs="Calibri"/>
          <w:szCs w:val="21"/>
        </w:rPr>
      </w:pPr>
      <w:r>
        <w:rPr>
          <w:rFonts w:hint="eastAsia" w:ascii="宋体" w:hAnsi="宋体" w:eastAsia="宋体" w:cs="Calibri"/>
          <w:szCs w:val="21"/>
        </w:rPr>
        <w:t>（三）施工完毕后未按规定对现场进行清理，按照本制度第六条相关内容进行处罚。</w:t>
      </w:r>
    </w:p>
    <w:p>
      <w:pPr>
        <w:widowControl w:val="0"/>
        <w:ind w:firstLine="480"/>
        <w:rPr>
          <w:rFonts w:ascii="宋体" w:hAnsi="宋体" w:eastAsia="宋体" w:cs="Calibri"/>
          <w:szCs w:val="21"/>
        </w:rPr>
      </w:pPr>
      <w:r>
        <w:rPr>
          <w:rFonts w:hint="eastAsia" w:ascii="宋体" w:hAnsi="宋体" w:eastAsia="宋体" w:cs="Calibri"/>
          <w:szCs w:val="21"/>
        </w:rPr>
        <w:t>（四）施工完毕后不销令，或到点不销令，拖延时间继续施工的，给予违规工区项目部</w:t>
      </w:r>
      <w:r>
        <w:rPr>
          <w:rFonts w:hint="eastAsia"/>
        </w:rPr>
        <w:t>0.5万元～2万元处罚</w:t>
      </w:r>
      <w:r>
        <w:rPr>
          <w:rFonts w:hint="eastAsia" w:ascii="宋体" w:hAnsi="宋体" w:eastAsia="宋体" w:cs="Calibri"/>
          <w:szCs w:val="21"/>
        </w:rPr>
        <w:t>。</w:t>
      </w:r>
    </w:p>
    <w:p>
      <w:pPr>
        <w:widowControl w:val="0"/>
        <w:ind w:firstLine="480"/>
        <w:rPr>
          <w:rFonts w:ascii="宋体" w:hAnsi="宋体" w:eastAsia="宋体" w:cs="Calibri"/>
          <w:szCs w:val="21"/>
        </w:rPr>
      </w:pPr>
      <w:r>
        <w:rPr>
          <w:rFonts w:hint="eastAsia" w:ascii="宋体" w:hAnsi="宋体" w:eastAsia="宋体" w:cs="Calibri"/>
          <w:szCs w:val="21"/>
        </w:rPr>
        <w:t>（五）工区项目部对轨行区作业监管不到位，造成安全事故的，按照本制度第四条相关内容进行处罚。</w:t>
      </w:r>
    </w:p>
    <w:p>
      <w:pPr>
        <w:widowControl w:val="0"/>
        <w:ind w:firstLine="482"/>
        <w:rPr>
          <w:rFonts w:ascii="宋体" w:hAnsi="宋体" w:eastAsia="宋体" w:cs="Calibri"/>
          <w:szCs w:val="21"/>
        </w:rPr>
      </w:pPr>
      <w:r>
        <w:rPr>
          <w:rFonts w:hint="eastAsia" w:ascii="宋体" w:hAnsi="宋体" w:eastAsia="宋体" w:cs="Calibri"/>
          <w:b/>
          <w:bCs/>
          <w:szCs w:val="21"/>
        </w:rPr>
        <w:t>第九条</w:t>
      </w:r>
      <w:r>
        <w:rPr>
          <w:rFonts w:hint="eastAsia" w:ascii="宋体" w:hAnsi="宋体" w:eastAsia="宋体" w:cs="Calibri"/>
          <w:szCs w:val="21"/>
        </w:rPr>
        <w:t xml:space="preserve"> 联合调试阶段轨行区施工安全管理方面</w:t>
      </w:r>
    </w:p>
    <w:p>
      <w:pPr>
        <w:widowControl w:val="0"/>
        <w:ind w:firstLine="480"/>
        <w:rPr>
          <w:rFonts w:ascii="宋体" w:hAnsi="宋体" w:eastAsia="宋体" w:cs="Calibri"/>
          <w:szCs w:val="21"/>
        </w:rPr>
      </w:pPr>
      <w:r>
        <w:rPr>
          <w:rFonts w:hint="eastAsia" w:ascii="宋体" w:hAnsi="宋体" w:eastAsia="宋体" w:cs="Calibri"/>
          <w:szCs w:val="21"/>
        </w:rPr>
        <w:t>（一）因违章施工造成调试安全事故，按照本制度第四条相关内容进行处罚。</w:t>
      </w:r>
    </w:p>
    <w:p>
      <w:pPr>
        <w:widowControl w:val="0"/>
        <w:ind w:firstLine="480"/>
        <w:rPr>
          <w:rFonts w:ascii="宋体" w:hAnsi="宋体" w:eastAsia="宋体" w:cs="Calibri"/>
          <w:szCs w:val="21"/>
        </w:rPr>
      </w:pPr>
      <w:r>
        <w:rPr>
          <w:rFonts w:hint="eastAsia" w:ascii="宋体" w:hAnsi="宋体" w:eastAsia="宋体" w:cs="Calibri"/>
          <w:szCs w:val="21"/>
        </w:rPr>
        <w:t>（二）因违章施工造成列车或其他设备、设施等损坏的，除赔偿相关经济损失外，给予违规</w:t>
      </w:r>
      <w:r>
        <w:rPr>
          <w:rFonts w:hint="eastAsia" w:eastAsia="宋体"/>
        </w:rPr>
        <w:t>工区项目部</w:t>
      </w:r>
      <w:r>
        <w:rPr>
          <w:rFonts w:hint="eastAsia"/>
        </w:rPr>
        <w:t>1万元～3万元处</w:t>
      </w:r>
      <w:r>
        <w:rPr>
          <w:rFonts w:hint="eastAsia" w:ascii="宋体" w:hAnsi="宋体" w:eastAsia="宋体" w:cs="Calibri"/>
          <w:szCs w:val="21"/>
        </w:rPr>
        <w:t>罚。</w:t>
      </w:r>
    </w:p>
    <w:p>
      <w:pPr>
        <w:widowControl w:val="0"/>
        <w:ind w:firstLine="480"/>
      </w:pPr>
      <w:r>
        <w:rPr>
          <w:rFonts w:hint="eastAsia" w:ascii="宋体" w:hAnsi="宋体" w:eastAsia="宋体" w:cs="Calibri"/>
          <w:szCs w:val="21"/>
        </w:rPr>
        <w:t>（三）未办理作业令，擅自进入轨行区或侵入轨行区限界施工的，给予违规工区项目部</w:t>
      </w:r>
      <w:r>
        <w:rPr>
          <w:rFonts w:hint="eastAsia"/>
        </w:rPr>
        <w:t>1万元～5万元处</w:t>
      </w:r>
      <w:r>
        <w:rPr>
          <w:rFonts w:hint="eastAsia" w:ascii="宋体" w:hAnsi="宋体" w:eastAsia="宋体" w:cs="Calibri"/>
          <w:szCs w:val="21"/>
        </w:rPr>
        <w:t>罚。对不听劝阻强行闯入的，给予相关工区项目部</w:t>
      </w:r>
      <w:r>
        <w:rPr>
          <w:rFonts w:hint="eastAsia"/>
        </w:rPr>
        <w:t>2万元～1万元处罚。</w:t>
      </w:r>
    </w:p>
    <w:p>
      <w:pPr>
        <w:widowControl w:val="0"/>
        <w:ind w:firstLine="480"/>
        <w:rPr>
          <w:rFonts w:ascii="宋体" w:hAnsi="宋体" w:eastAsia="宋体" w:cs="Calibri"/>
          <w:szCs w:val="21"/>
        </w:rPr>
      </w:pPr>
      <w:r>
        <w:rPr>
          <w:rFonts w:hint="eastAsia" w:ascii="宋体" w:hAnsi="宋体" w:eastAsia="宋体" w:cs="Calibri"/>
          <w:szCs w:val="21"/>
        </w:rPr>
        <w:t>（四）轨行区作业未采取安全防护措施，不按规定设立警示标志、作业人员未戴安全帽、未穿戴荧光衣等，给予违规</w:t>
      </w:r>
      <w:r>
        <w:rPr>
          <w:rFonts w:hint="eastAsia" w:eastAsia="宋体"/>
        </w:rPr>
        <w:t>工区项目部</w:t>
      </w:r>
      <w:r>
        <w:rPr>
          <w:rFonts w:hint="eastAsia"/>
        </w:rPr>
        <w:t>0.5万元～2万元处罚</w:t>
      </w:r>
      <w:r>
        <w:rPr>
          <w:rFonts w:hint="eastAsia" w:ascii="宋体" w:hAnsi="宋体" w:eastAsia="宋体" w:cs="Calibri"/>
          <w:szCs w:val="21"/>
        </w:rPr>
        <w:t>。</w:t>
      </w:r>
    </w:p>
    <w:p>
      <w:pPr>
        <w:widowControl w:val="0"/>
        <w:ind w:firstLine="480"/>
        <w:rPr>
          <w:rFonts w:ascii="宋体" w:hAnsi="宋体" w:eastAsia="宋体" w:cs="Calibri"/>
          <w:szCs w:val="21"/>
        </w:rPr>
      </w:pPr>
      <w:r>
        <w:rPr>
          <w:rFonts w:hint="eastAsia" w:ascii="宋体" w:hAnsi="宋体" w:eastAsia="宋体" w:cs="Calibri"/>
          <w:szCs w:val="21"/>
        </w:rPr>
        <w:t>（五）施工完毕后未按规定对现场进行清理，遗留影响列车调试安全的物品或施工垃圾等，给予违规工区项目部</w:t>
      </w:r>
      <w:r>
        <w:rPr>
          <w:rFonts w:hint="eastAsia"/>
        </w:rPr>
        <w:t>0.5万元～2万元处罚。</w:t>
      </w:r>
    </w:p>
    <w:p>
      <w:pPr>
        <w:widowControl w:val="0"/>
        <w:ind w:firstLine="480"/>
        <w:rPr>
          <w:rFonts w:ascii="宋体" w:hAnsi="宋体" w:eastAsia="宋体" w:cs="Calibri"/>
          <w:szCs w:val="21"/>
        </w:rPr>
      </w:pPr>
      <w:r>
        <w:rPr>
          <w:rFonts w:hint="eastAsia" w:ascii="宋体" w:hAnsi="宋体" w:eastAsia="宋体" w:cs="Calibri"/>
          <w:szCs w:val="21"/>
        </w:rPr>
        <w:t>（六）施工完毕后不销令，或到点不销令，拖延时间继续施工的，给予违规</w:t>
      </w:r>
      <w:r>
        <w:rPr>
          <w:rFonts w:hint="eastAsia" w:eastAsia="宋体"/>
        </w:rPr>
        <w:t>工区项目部</w:t>
      </w:r>
      <w:r>
        <w:rPr>
          <w:rFonts w:hint="eastAsia"/>
        </w:rPr>
        <w:t>0.5万元～2万元处</w:t>
      </w:r>
      <w:r>
        <w:rPr>
          <w:rFonts w:hint="eastAsia" w:ascii="宋体" w:hAnsi="宋体" w:eastAsia="宋体" w:cs="Calibri"/>
          <w:szCs w:val="21"/>
        </w:rPr>
        <w:t>罚。</w:t>
      </w:r>
    </w:p>
    <w:p>
      <w:pPr>
        <w:widowControl w:val="0"/>
        <w:ind w:firstLine="480"/>
        <w:rPr>
          <w:rFonts w:ascii="宋体" w:hAnsi="宋体" w:eastAsia="宋体" w:cs="Calibri"/>
          <w:szCs w:val="21"/>
        </w:rPr>
      </w:pPr>
      <w:r>
        <w:rPr>
          <w:rFonts w:hint="eastAsia" w:ascii="宋体" w:hAnsi="宋体" w:eastAsia="宋体" w:cs="Calibri"/>
          <w:szCs w:val="21"/>
        </w:rPr>
        <w:t>（七）未经轨行区调度室和监理工程师许可，在轨行区使用易燃易爆物品的，给予违规工区项目部</w:t>
      </w:r>
      <w:r>
        <w:rPr>
          <w:rFonts w:hint="eastAsia"/>
        </w:rPr>
        <w:t>0.5万元～2万元</w:t>
      </w:r>
      <w:r>
        <w:rPr>
          <w:rFonts w:hint="eastAsia" w:ascii="宋体" w:hAnsi="宋体" w:eastAsia="宋体" w:cs="Calibri"/>
          <w:szCs w:val="21"/>
        </w:rPr>
        <w:t>处罚。</w:t>
      </w:r>
    </w:p>
    <w:p>
      <w:pPr>
        <w:widowControl w:val="0"/>
        <w:ind w:firstLine="480"/>
        <w:rPr>
          <w:rFonts w:ascii="宋体" w:hAnsi="宋体" w:eastAsia="宋体" w:cs="Calibri"/>
          <w:szCs w:val="21"/>
        </w:rPr>
      </w:pPr>
      <w:r>
        <w:rPr>
          <w:rFonts w:hint="eastAsia" w:ascii="宋体" w:hAnsi="宋体" w:eastAsia="宋体" w:cs="Calibri"/>
          <w:szCs w:val="21"/>
        </w:rPr>
        <w:t>（八）施工过程中不服从调度指挥、或其他违章施工影响调试工作的，给予违规工区项目部</w:t>
      </w:r>
      <w:r>
        <w:rPr>
          <w:rFonts w:hint="eastAsia"/>
        </w:rPr>
        <w:t>1万元～3万元处罚</w:t>
      </w:r>
      <w:r>
        <w:rPr>
          <w:rFonts w:hint="eastAsia" w:ascii="宋体" w:hAnsi="宋体" w:eastAsia="宋体" w:cs="Calibri"/>
          <w:szCs w:val="21"/>
        </w:rPr>
        <w:t>。</w:t>
      </w:r>
    </w:p>
    <w:p>
      <w:pPr>
        <w:widowControl w:val="0"/>
        <w:ind w:firstLine="482"/>
        <w:rPr>
          <w:rFonts w:ascii="宋体" w:hAnsi="宋体" w:eastAsia="宋体" w:cs="Calibri"/>
          <w:szCs w:val="21"/>
        </w:rPr>
      </w:pPr>
      <w:r>
        <w:rPr>
          <w:rFonts w:hint="eastAsia" w:ascii="宋体" w:hAnsi="宋体" w:eastAsia="宋体" w:cs="Calibri"/>
          <w:b/>
          <w:bCs/>
          <w:szCs w:val="21"/>
        </w:rPr>
        <w:t>第十条</w:t>
      </w:r>
      <w:r>
        <w:rPr>
          <w:rFonts w:hint="eastAsia" w:ascii="宋体" w:hAnsi="宋体" w:eastAsia="宋体" w:cs="Calibri"/>
          <w:szCs w:val="21"/>
        </w:rPr>
        <w:t xml:space="preserve"> 试运行阶段轨行区施工安全管理方面</w:t>
      </w:r>
    </w:p>
    <w:p>
      <w:pPr>
        <w:widowControl w:val="0"/>
        <w:ind w:firstLine="480"/>
        <w:rPr>
          <w:rFonts w:ascii="宋体" w:hAnsi="宋体" w:eastAsia="宋体" w:cs="Calibri"/>
          <w:szCs w:val="21"/>
        </w:rPr>
      </w:pPr>
      <w:r>
        <w:rPr>
          <w:rFonts w:hint="eastAsia" w:ascii="宋体" w:hAnsi="宋体" w:eastAsia="宋体" w:cs="Calibri"/>
          <w:szCs w:val="21"/>
        </w:rPr>
        <w:t>（一）因违章施工造成运行安全事故，按照本制度第四条相关内容进行处罚，并承担相应的法律责任。</w:t>
      </w:r>
    </w:p>
    <w:p>
      <w:pPr>
        <w:widowControl w:val="0"/>
        <w:ind w:firstLine="480"/>
        <w:rPr>
          <w:rFonts w:ascii="宋体" w:hAnsi="宋体" w:eastAsia="宋体" w:cs="Calibri"/>
          <w:szCs w:val="21"/>
        </w:rPr>
      </w:pPr>
      <w:r>
        <w:rPr>
          <w:rFonts w:hint="eastAsia" w:ascii="宋体" w:hAnsi="宋体" w:eastAsia="宋体" w:cs="Calibri"/>
          <w:szCs w:val="21"/>
        </w:rPr>
        <w:t>（二）因违章施工造成列车或其他设备、设施等损坏或列车延误的，除赔偿相关经济损失外，按照造成的影响和后果，给予违规工区项目部</w:t>
      </w:r>
      <w:r>
        <w:rPr>
          <w:rFonts w:hint="eastAsia"/>
        </w:rPr>
        <w:t>5万元～20万元</w:t>
      </w:r>
      <w:r>
        <w:rPr>
          <w:rFonts w:hint="eastAsia" w:ascii="宋体" w:hAnsi="宋体" w:eastAsia="宋体" w:cs="Calibri"/>
          <w:szCs w:val="21"/>
        </w:rPr>
        <w:t>处罚。</w:t>
      </w:r>
    </w:p>
    <w:p>
      <w:pPr>
        <w:widowControl w:val="0"/>
        <w:ind w:firstLine="480"/>
      </w:pPr>
      <w:r>
        <w:rPr>
          <w:rFonts w:hint="eastAsia" w:ascii="宋体" w:hAnsi="宋体" w:eastAsia="宋体" w:cs="Calibri"/>
          <w:szCs w:val="21"/>
        </w:rPr>
        <w:t>（三）未办理作业令，擅自进入轨行区或侵入轨行区限界施工的，给予违规工区项目部</w:t>
      </w:r>
      <w:r>
        <w:rPr>
          <w:rFonts w:hint="eastAsia"/>
        </w:rPr>
        <w:t>1万元～5万元处</w:t>
      </w:r>
      <w:r>
        <w:rPr>
          <w:rFonts w:hint="eastAsia" w:ascii="宋体" w:hAnsi="宋体" w:eastAsia="宋体" w:cs="Calibri"/>
          <w:szCs w:val="21"/>
        </w:rPr>
        <w:t>罚。对不听劝阻强行闯入的，给予相关工区项目部</w:t>
      </w:r>
      <w:r>
        <w:rPr>
          <w:rFonts w:hint="eastAsia"/>
        </w:rPr>
        <w:t>5万元～10万元处罚。</w:t>
      </w:r>
    </w:p>
    <w:p>
      <w:pPr>
        <w:widowControl w:val="0"/>
        <w:ind w:firstLine="480"/>
        <w:rPr>
          <w:rFonts w:ascii="宋体" w:hAnsi="宋体" w:eastAsia="宋体" w:cs="Calibri"/>
          <w:szCs w:val="21"/>
        </w:rPr>
      </w:pPr>
      <w:r>
        <w:rPr>
          <w:rFonts w:hint="eastAsia" w:ascii="宋体" w:hAnsi="宋体" w:eastAsia="宋体" w:cs="Calibri"/>
          <w:szCs w:val="21"/>
        </w:rPr>
        <w:t>（四）轨行区作业未采取安全防护措施，不按规定设立警示标志、作业人员未戴安全帽及不穿戴荧光衣等，给予违规</w:t>
      </w:r>
      <w:r>
        <w:rPr>
          <w:rFonts w:hint="eastAsia" w:eastAsia="宋体"/>
        </w:rPr>
        <w:t>工区项目部</w:t>
      </w:r>
      <w:r>
        <w:rPr>
          <w:rFonts w:hint="eastAsia"/>
        </w:rPr>
        <w:t>1万元～3万</w:t>
      </w:r>
      <w:r>
        <w:rPr>
          <w:rFonts w:hint="eastAsia" w:ascii="宋体" w:hAnsi="宋体" w:eastAsia="宋体" w:cs="Calibri"/>
          <w:szCs w:val="21"/>
        </w:rPr>
        <w:t>元处罚。</w:t>
      </w:r>
    </w:p>
    <w:p>
      <w:pPr>
        <w:widowControl w:val="0"/>
        <w:ind w:firstLine="480"/>
        <w:rPr>
          <w:rFonts w:ascii="宋体" w:hAnsi="宋体" w:eastAsia="宋体" w:cs="Calibri"/>
          <w:szCs w:val="21"/>
        </w:rPr>
      </w:pPr>
      <w:r>
        <w:rPr>
          <w:rFonts w:hint="eastAsia" w:ascii="宋体" w:hAnsi="宋体" w:eastAsia="宋体" w:cs="Calibri"/>
          <w:szCs w:val="21"/>
        </w:rPr>
        <w:t>（五）施工完毕后未按规定对现场进行清理，遗留影响列车运营安全的物品或施工垃圾等，按照造成的影响和后果，给予违规工区项目部</w:t>
      </w:r>
      <w:r>
        <w:rPr>
          <w:rFonts w:hint="eastAsia"/>
        </w:rPr>
        <w:t>1万元～5万元处</w:t>
      </w:r>
      <w:r>
        <w:rPr>
          <w:rFonts w:hint="eastAsia" w:ascii="宋体" w:hAnsi="宋体" w:eastAsia="宋体" w:cs="Calibri"/>
          <w:szCs w:val="21"/>
        </w:rPr>
        <w:t>罚。</w:t>
      </w:r>
    </w:p>
    <w:p>
      <w:pPr>
        <w:widowControl w:val="0"/>
        <w:ind w:firstLine="480"/>
        <w:rPr>
          <w:rFonts w:ascii="宋体" w:hAnsi="宋体" w:eastAsia="宋体" w:cs="Calibri"/>
          <w:szCs w:val="21"/>
        </w:rPr>
      </w:pPr>
      <w:r>
        <w:rPr>
          <w:rFonts w:hint="eastAsia" w:ascii="宋体" w:hAnsi="宋体" w:eastAsia="宋体" w:cs="Calibri"/>
          <w:szCs w:val="21"/>
        </w:rPr>
        <w:t>（六）施工完毕后不销令，或到点不销令，拖延时间继续施工的，按照造成的影响和后果，给予违规工区项目部</w:t>
      </w:r>
      <w:r>
        <w:rPr>
          <w:rFonts w:hint="eastAsia"/>
        </w:rPr>
        <w:t>1万元～5万元处</w:t>
      </w:r>
      <w:r>
        <w:rPr>
          <w:rFonts w:hint="eastAsia" w:ascii="宋体" w:hAnsi="宋体" w:eastAsia="宋体" w:cs="Calibri"/>
          <w:szCs w:val="21"/>
        </w:rPr>
        <w:t>罚。</w:t>
      </w:r>
    </w:p>
    <w:p>
      <w:pPr>
        <w:widowControl w:val="0"/>
        <w:ind w:firstLine="480"/>
        <w:rPr>
          <w:rFonts w:ascii="宋体" w:hAnsi="宋体" w:eastAsia="宋体" w:cs="Calibri"/>
          <w:szCs w:val="21"/>
        </w:rPr>
      </w:pPr>
      <w:r>
        <w:rPr>
          <w:rFonts w:hint="eastAsia" w:ascii="宋体" w:hAnsi="宋体" w:eastAsia="宋体" w:cs="Calibri"/>
          <w:szCs w:val="21"/>
        </w:rPr>
        <w:t>（七）未经轨行区调度室和监理工程师许可，在轨行区使用易燃易爆物品的，给予违规</w:t>
      </w:r>
      <w:r>
        <w:rPr>
          <w:rFonts w:hint="eastAsia" w:eastAsia="宋体"/>
        </w:rPr>
        <w:t>工区项目部</w:t>
      </w:r>
      <w:r>
        <w:rPr>
          <w:rFonts w:hint="eastAsia"/>
        </w:rPr>
        <w:t>1万元～3万</w:t>
      </w:r>
      <w:r>
        <w:rPr>
          <w:rFonts w:hint="eastAsia" w:ascii="宋体" w:hAnsi="宋体" w:eastAsia="宋体" w:cs="Calibri"/>
          <w:szCs w:val="21"/>
        </w:rPr>
        <w:t>元处罚。</w:t>
      </w:r>
    </w:p>
    <w:p>
      <w:pPr>
        <w:widowControl w:val="0"/>
        <w:ind w:firstLine="480"/>
        <w:rPr>
          <w:rFonts w:ascii="宋体" w:hAnsi="宋体" w:eastAsia="宋体" w:cs="Calibri"/>
          <w:szCs w:val="21"/>
        </w:rPr>
      </w:pPr>
      <w:r>
        <w:rPr>
          <w:rFonts w:hint="eastAsia" w:ascii="宋体" w:hAnsi="宋体" w:eastAsia="宋体" w:cs="Calibri"/>
          <w:szCs w:val="21"/>
        </w:rPr>
        <w:t>（八）施工过程中不服从调度指挥、或其他违章施工影响运营工作的，给予违规工区项目部</w:t>
      </w:r>
      <w:r>
        <w:rPr>
          <w:rFonts w:hint="eastAsia"/>
        </w:rPr>
        <w:t>1万元～5万</w:t>
      </w:r>
      <w:r>
        <w:rPr>
          <w:rFonts w:hint="eastAsia" w:ascii="宋体" w:hAnsi="宋体" w:eastAsia="宋体" w:cs="Calibri"/>
          <w:szCs w:val="21"/>
        </w:rPr>
        <w:t>元处罚。</w:t>
      </w:r>
    </w:p>
    <w:p>
      <w:pPr>
        <w:pStyle w:val="3"/>
        <w:widowControl w:val="0"/>
      </w:pPr>
      <w:bookmarkStart w:id="176" w:name="_Toc31096"/>
      <w:r>
        <w:rPr>
          <w:rFonts w:hint="eastAsia"/>
        </w:rPr>
        <w:t>第三章 违约处罚实施规定</w:t>
      </w:r>
      <w:bookmarkEnd w:id="176"/>
    </w:p>
    <w:p>
      <w:pPr>
        <w:widowControl w:val="0"/>
        <w:ind w:firstLine="482"/>
      </w:pPr>
      <w:r>
        <w:rPr>
          <w:rFonts w:hint="eastAsia" w:ascii="宋体" w:hAnsi="宋体" w:eastAsia="宋体" w:cs="Calibri"/>
          <w:b/>
          <w:bCs/>
          <w:szCs w:val="21"/>
        </w:rPr>
        <w:t>第十一条</w:t>
      </w:r>
      <w:r>
        <w:rPr>
          <w:rFonts w:hint="eastAsia" w:ascii="宋体" w:hAnsi="宋体" w:eastAsia="宋体" w:cs="Calibri"/>
          <w:szCs w:val="21"/>
        </w:rPr>
        <w:t xml:space="preserve"> </w:t>
      </w:r>
      <w:r>
        <w:rPr>
          <w:rFonts w:hint="eastAsia"/>
        </w:rPr>
        <w:t>总承包项目部是违约处罚的实施部门。</w:t>
      </w:r>
    </w:p>
    <w:p>
      <w:pPr>
        <w:widowControl w:val="0"/>
        <w:ind w:firstLine="482"/>
        <w:rPr>
          <w:rFonts w:ascii="宋体" w:hAnsi="宋体" w:eastAsia="宋体" w:cs="Calibri"/>
          <w:szCs w:val="21"/>
        </w:rPr>
      </w:pPr>
      <w:r>
        <w:rPr>
          <w:rFonts w:hint="eastAsia" w:ascii="宋体" w:hAnsi="宋体" w:eastAsia="宋体" w:cs="Calibri"/>
          <w:b/>
          <w:bCs/>
          <w:szCs w:val="21"/>
        </w:rPr>
        <w:t>第十二条</w:t>
      </w:r>
      <w:r>
        <w:rPr>
          <w:rFonts w:hint="eastAsia" w:ascii="宋体" w:hAnsi="宋体" w:eastAsia="宋体" w:cs="Calibri"/>
          <w:szCs w:val="21"/>
        </w:rPr>
        <w:t xml:space="preserve"> </w:t>
      </w:r>
      <w:r>
        <w:rPr>
          <w:rFonts w:hint="eastAsia" w:eastAsia="宋体" w:cs="Calibri" w:asciiTheme="minorEastAsia" w:hAnsiTheme="minorEastAsia"/>
        </w:rPr>
        <w:t>总承包项目部安全检查人员及各工区安全管理人员在施工现场</w:t>
      </w:r>
      <w:r>
        <w:rPr>
          <w:rFonts w:hint="eastAsia" w:ascii="宋体" w:hAnsi="宋体" w:eastAsia="宋体" w:cs="Calibri"/>
          <w:szCs w:val="21"/>
        </w:rPr>
        <w:t>检查发现违规违约行为后，应立即填写《施工现场安全质量问题整改通知书》，提出整改要求，并口头警告。当复查时未整改到位或重复发生类似违规违约情况时，检查人员可向责任工区项目部开具《安全文明施工违规违约处罚通知书》（</w:t>
      </w:r>
      <w:r>
        <w:rPr>
          <w:rFonts w:hint="eastAsia"/>
        </w:rPr>
        <w:t>附件1）</w:t>
      </w:r>
      <w:r>
        <w:rPr>
          <w:rFonts w:hint="eastAsia" w:ascii="宋体" w:hAnsi="宋体" w:eastAsia="宋体" w:cs="Calibri"/>
          <w:szCs w:val="21"/>
        </w:rPr>
        <w:t>，对责任工区项目部进行处罚。</w:t>
      </w:r>
    </w:p>
    <w:p>
      <w:pPr>
        <w:widowControl w:val="0"/>
        <w:ind w:firstLine="480"/>
        <w:rPr>
          <w:rFonts w:ascii="宋体" w:hAnsi="宋体" w:eastAsia="宋体" w:cs="Calibri"/>
          <w:szCs w:val="21"/>
        </w:rPr>
      </w:pPr>
      <w:r>
        <w:rPr>
          <w:rFonts w:hint="eastAsia" w:ascii="宋体" w:hAnsi="宋体" w:eastAsia="宋体" w:cs="Calibri"/>
          <w:szCs w:val="21"/>
        </w:rPr>
        <w:t>违约处罚通知书一式三份，一份由</w:t>
      </w:r>
      <w:r>
        <w:rPr>
          <w:rFonts w:hint="eastAsia" w:eastAsia="宋体" w:cs="Calibri" w:asciiTheme="minorEastAsia" w:hAnsiTheme="minorEastAsia"/>
        </w:rPr>
        <w:t>被处罚工区项目部留存，一份由苏州中车建工财务部留存，一份由总承包项目部安质环保部留存。</w:t>
      </w:r>
    </w:p>
    <w:p>
      <w:pPr>
        <w:widowControl w:val="0"/>
        <w:ind w:firstLine="482"/>
        <w:rPr>
          <w:rFonts w:ascii="宋体" w:hAnsi="宋体" w:eastAsia="宋体" w:cs="Calibri"/>
          <w:szCs w:val="21"/>
        </w:rPr>
      </w:pPr>
      <w:r>
        <w:rPr>
          <w:rFonts w:hint="eastAsia" w:ascii="宋体" w:hAnsi="宋体" w:eastAsia="宋体" w:cs="Calibri"/>
          <w:b/>
          <w:bCs/>
          <w:szCs w:val="21"/>
        </w:rPr>
        <w:t>第十三条</w:t>
      </w:r>
      <w:r>
        <w:rPr>
          <w:rFonts w:hint="eastAsia" w:ascii="宋体" w:hAnsi="宋体" w:eastAsia="宋体" w:cs="Calibri"/>
          <w:szCs w:val="21"/>
        </w:rPr>
        <w:t xml:space="preserve"> 提级处理原则</w:t>
      </w:r>
    </w:p>
    <w:p>
      <w:pPr>
        <w:widowControl w:val="0"/>
        <w:ind w:firstLine="480"/>
        <w:rPr>
          <w:rFonts w:ascii="宋体" w:hAnsi="宋体" w:eastAsia="宋体" w:cs="Calibri"/>
          <w:szCs w:val="21"/>
        </w:rPr>
      </w:pPr>
      <w:r>
        <w:rPr>
          <w:rFonts w:hint="eastAsia" w:ascii="宋体" w:hAnsi="宋体" w:eastAsia="宋体" w:cs="Calibri"/>
          <w:szCs w:val="21"/>
        </w:rPr>
        <w:t>一个月内同一违规行为被违约处罚</w:t>
      </w:r>
      <w:r>
        <w:rPr>
          <w:rFonts w:hint="eastAsia"/>
        </w:rPr>
        <w:t>2次以上（含2次），违规行为仍未进行整改或整改不到位的，按照本项违约处罚上限的2～5倍，</w:t>
      </w:r>
      <w:r>
        <w:rPr>
          <w:rFonts w:hint="eastAsia" w:ascii="宋体" w:hAnsi="宋体" w:eastAsia="宋体" w:cs="Calibri"/>
          <w:szCs w:val="21"/>
        </w:rPr>
        <w:t>对责任工区项目部进行处罚。</w:t>
      </w:r>
    </w:p>
    <w:p>
      <w:pPr>
        <w:widowControl w:val="0"/>
        <w:ind w:firstLine="482"/>
      </w:pPr>
      <w:r>
        <w:rPr>
          <w:rFonts w:hint="eastAsia" w:ascii="宋体" w:hAnsi="宋体" w:eastAsia="宋体" w:cs="Calibri"/>
          <w:b/>
          <w:bCs/>
          <w:szCs w:val="21"/>
        </w:rPr>
        <w:t>第十四条</w:t>
      </w:r>
      <w:r>
        <w:rPr>
          <w:rFonts w:hint="eastAsia" w:ascii="宋体" w:hAnsi="宋体" w:eastAsia="宋体" w:cs="Calibri"/>
          <w:szCs w:val="21"/>
        </w:rPr>
        <w:t xml:space="preserve"> 违约工区项目部对通知书有异议的，应在收到通知书后的两个工作日内向处罚实施部门申诉，申诉时需提供相应的证明材料；对</w:t>
      </w:r>
      <w:r>
        <w:rPr>
          <w:rFonts w:hint="eastAsia"/>
        </w:rPr>
        <w:t>处罚实施部门的判定结果仍不服的，违约工区项目部应在两个工作日内填写处罚申诉单（见附件2），向总承包项目部提出书面最终申诉；总承包项目部应在收到处罚申诉单后的三个工作日内做出最终判定。</w:t>
      </w:r>
    </w:p>
    <w:p>
      <w:pPr>
        <w:widowControl w:val="0"/>
        <w:ind w:firstLine="482"/>
        <w:rPr>
          <w:rFonts w:ascii="宋体" w:hAnsi="宋体" w:eastAsia="宋体" w:cs="Calibri"/>
          <w:szCs w:val="21"/>
        </w:rPr>
      </w:pPr>
      <w:r>
        <w:rPr>
          <w:rFonts w:hint="eastAsia" w:ascii="宋体" w:hAnsi="宋体" w:eastAsia="宋体" w:cs="Calibri"/>
          <w:b/>
          <w:bCs/>
          <w:szCs w:val="21"/>
        </w:rPr>
        <w:t>第十五条</w:t>
      </w:r>
      <w:r>
        <w:rPr>
          <w:rFonts w:hint="eastAsia" w:ascii="宋体" w:hAnsi="宋体" w:eastAsia="宋体" w:cs="Calibri"/>
          <w:szCs w:val="21"/>
        </w:rPr>
        <w:t xml:space="preserve"> 违约工区项目部应在收到通知书或最终判</w:t>
      </w:r>
      <w:r>
        <w:rPr>
          <w:rFonts w:hint="eastAsia"/>
        </w:rPr>
        <w:t>定后的10个工作</w:t>
      </w:r>
      <w:r>
        <w:rPr>
          <w:rFonts w:hint="eastAsia" w:ascii="宋体" w:hAnsi="宋体" w:eastAsia="宋体" w:cs="Calibri"/>
          <w:szCs w:val="21"/>
        </w:rPr>
        <w:t>日内，自行将违约金缴纳到苏州中车财务部，将收据复印件交到处总承包项目部安质环保部。</w:t>
      </w:r>
    </w:p>
    <w:p>
      <w:pPr>
        <w:pStyle w:val="3"/>
        <w:widowControl w:val="0"/>
      </w:pPr>
      <w:bookmarkStart w:id="177" w:name="_Toc13091"/>
      <w:r>
        <w:rPr>
          <w:rFonts w:hint="eastAsia"/>
        </w:rPr>
        <w:t>第四章 附则</w:t>
      </w:r>
      <w:bookmarkEnd w:id="177"/>
    </w:p>
    <w:p>
      <w:pPr>
        <w:widowControl w:val="0"/>
        <w:ind w:firstLine="482"/>
        <w:rPr>
          <w:rFonts w:ascii="宋体" w:hAnsi="宋体" w:eastAsia="宋体" w:cs="Calibri"/>
          <w:szCs w:val="21"/>
        </w:rPr>
      </w:pPr>
      <w:r>
        <w:rPr>
          <w:rFonts w:hint="eastAsia" w:ascii="宋体" w:hAnsi="宋体" w:eastAsia="宋体" w:cs="Calibri"/>
          <w:b/>
          <w:bCs/>
          <w:szCs w:val="21"/>
        </w:rPr>
        <w:t>第十六条</w:t>
      </w:r>
      <w:r>
        <w:rPr>
          <w:rFonts w:hint="eastAsia" w:ascii="宋体" w:hAnsi="宋体" w:eastAsia="宋体" w:cs="Calibri"/>
          <w:szCs w:val="21"/>
        </w:rPr>
        <w:t xml:space="preserve"> 本细则由总承包项目部安质环保部负责解释。</w:t>
      </w:r>
    </w:p>
    <w:p>
      <w:pPr>
        <w:widowControl w:val="0"/>
        <w:ind w:firstLine="482"/>
        <w:rPr>
          <w:rFonts w:ascii="宋体" w:hAnsi="宋体" w:eastAsia="宋体" w:cs="Calibri"/>
          <w:szCs w:val="21"/>
        </w:rPr>
      </w:pPr>
      <w:r>
        <w:rPr>
          <w:rFonts w:hint="eastAsia" w:ascii="宋体" w:hAnsi="宋体" w:eastAsia="宋体" w:cs="Calibri"/>
          <w:b/>
          <w:bCs/>
          <w:szCs w:val="21"/>
        </w:rPr>
        <w:t>第十七条</w:t>
      </w:r>
      <w:r>
        <w:rPr>
          <w:rFonts w:hint="eastAsia" w:ascii="宋体" w:hAnsi="宋体" w:eastAsia="宋体" w:cs="Calibri"/>
          <w:szCs w:val="21"/>
        </w:rPr>
        <w:t xml:space="preserve"> 本细则自印发之日起施行。</w:t>
      </w:r>
    </w:p>
    <w:p>
      <w:pPr>
        <w:widowControl w:val="0"/>
        <w:ind w:firstLine="480"/>
        <w:rPr>
          <w:rFonts w:ascii="宋体" w:hAnsi="宋体" w:eastAsia="宋体" w:cs="Calibri"/>
          <w:szCs w:val="21"/>
        </w:rPr>
      </w:pPr>
    </w:p>
    <w:p>
      <w:pPr>
        <w:widowControl w:val="0"/>
        <w:ind w:firstLine="482"/>
        <w:rPr>
          <w:rFonts w:ascii="宋体" w:hAnsi="宋体" w:eastAsia="宋体" w:cs="Calibri"/>
          <w:szCs w:val="21"/>
        </w:rPr>
      </w:pPr>
      <w:r>
        <w:rPr>
          <w:rFonts w:hint="eastAsia" w:ascii="宋体" w:hAnsi="宋体" w:eastAsia="宋体" w:cs="Calibri"/>
          <w:b/>
          <w:bCs/>
          <w:szCs w:val="21"/>
        </w:rPr>
        <w:t>附件1：</w:t>
      </w:r>
      <w:r>
        <w:rPr>
          <w:rFonts w:hint="eastAsia" w:ascii="宋体" w:hAnsi="宋体" w:eastAsia="宋体" w:cs="Calibri"/>
          <w:szCs w:val="21"/>
        </w:rPr>
        <w:t>安全质量文明施工违规违约处罚通知书</w:t>
      </w:r>
    </w:p>
    <w:p>
      <w:pPr>
        <w:widowControl w:val="0"/>
        <w:ind w:firstLine="482"/>
        <w:rPr>
          <w:rFonts w:ascii="宋体" w:hAnsi="宋体" w:eastAsia="宋体" w:cs="Calibri"/>
          <w:szCs w:val="21"/>
        </w:rPr>
      </w:pPr>
      <w:r>
        <w:rPr>
          <w:rFonts w:hint="eastAsia" w:ascii="宋体" w:hAnsi="宋体" w:eastAsia="宋体" w:cs="Calibri"/>
          <w:b/>
          <w:bCs/>
          <w:szCs w:val="21"/>
        </w:rPr>
        <w:t>附件2：</w:t>
      </w:r>
      <w:r>
        <w:rPr>
          <w:rFonts w:hint="eastAsia" w:ascii="宋体" w:hAnsi="宋体" w:eastAsia="宋体" w:cs="Calibri"/>
          <w:szCs w:val="21"/>
        </w:rPr>
        <w:t>处罚申诉单</w:t>
      </w:r>
    </w:p>
    <w:p>
      <w:pPr>
        <w:widowControl w:val="0"/>
        <w:ind w:firstLine="0" w:firstLineChars="0"/>
        <w:rPr>
          <w:rFonts w:ascii="宋体" w:hAnsi="宋体" w:eastAsia="宋体" w:cs="Calibri"/>
          <w:szCs w:val="21"/>
        </w:rPr>
        <w:sectPr>
          <w:footerReference r:id="rId22" w:type="default"/>
          <w:footerReference r:id="rId23" w:type="even"/>
          <w:pgSz w:w="11906" w:h="16838"/>
          <w:pgMar w:top="1440" w:right="1797" w:bottom="1440" w:left="1797" w:header="851" w:footer="992" w:gutter="0"/>
          <w:cols w:space="425" w:num="1"/>
          <w:docGrid w:type="lines" w:linePitch="312" w:charSpace="0"/>
        </w:sectPr>
      </w:pP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附件1</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安全质量文明施工违规违约处罚通知书</w:t>
      </w:r>
    </w:p>
    <w:p>
      <w:pPr>
        <w:widowControl w:val="0"/>
        <w:ind w:firstLine="480" w:firstLineChars="0"/>
        <w:jc w:val="center"/>
        <w:rPr>
          <w:rFonts w:eastAsia="宋体"/>
          <w:b/>
        </w:rPr>
      </w:pPr>
      <w:r>
        <w:rPr>
          <w:rFonts w:eastAsia="宋体"/>
        </w:rPr>
        <w:t>NO：0001</w:t>
      </w:r>
    </w:p>
    <w:p>
      <w:pPr>
        <w:widowControl w:val="0"/>
        <w:ind w:firstLine="0" w:firstLineChars="0"/>
        <w:rPr>
          <w:rFonts w:eastAsia="宋体" w:cs="Calibri" w:asciiTheme="minorEastAsia" w:hAnsiTheme="minorEastAsia"/>
        </w:rPr>
      </w:pPr>
      <w:r>
        <w:rPr>
          <w:rFonts w:hint="eastAsia" w:eastAsia="宋体" w:cs="Calibri" w:asciiTheme="minorEastAsia" w:hAnsiTheme="minorEastAsia"/>
        </w:rPr>
        <w:t xml:space="preserve">_______________： </w:t>
      </w:r>
    </w:p>
    <w:p>
      <w:pPr>
        <w:widowControl w:val="0"/>
        <w:ind w:firstLine="720" w:firstLineChars="300"/>
        <w:jc w:val="left"/>
        <w:rPr>
          <w:rFonts w:eastAsia="宋体" w:cs="Calibri" w:asciiTheme="minorEastAsia" w:hAnsiTheme="minorEastAsia"/>
        </w:rPr>
      </w:pPr>
      <w:r>
        <w:rPr>
          <w:rFonts w:hint="eastAsia" w:eastAsia="宋体" w:cs="Calibri" w:asciiTheme="minorEastAsia" w:hAnsiTheme="minorEastAsia"/>
        </w:rPr>
        <w:t>我公司台州市域铁路</w:t>
      </w:r>
      <w:r>
        <w:rPr>
          <w:rFonts w:hint="eastAsia" w:eastAsia="宋体"/>
          <w:kern w:val="0"/>
        </w:rPr>
        <w:t>S1</w:t>
      </w:r>
      <w:r>
        <w:rPr>
          <w:rFonts w:hint="eastAsia" w:eastAsia="宋体" w:cs="Calibri" w:asciiTheme="minorEastAsia" w:hAnsiTheme="minorEastAsia"/>
        </w:rPr>
        <w:t xml:space="preserve">线一期PPP项目工程总承包项目部检查人员于  </w:t>
      </w:r>
      <w:r>
        <w:rPr>
          <w:rFonts w:hint="eastAsia" w:eastAsia="宋体"/>
          <w:kern w:val="0"/>
        </w:rPr>
        <w:t>20</w:t>
      </w:r>
      <w:r>
        <w:rPr>
          <w:rFonts w:hint="eastAsia" w:eastAsia="宋体" w:cs="Calibri" w:asciiTheme="minorEastAsia" w:hAnsiTheme="minorEastAsia"/>
        </w:rPr>
        <w:t xml:space="preserve">  年  月  日时在对贵公司施工作业现场进行安全质量文明施工检查时发现，存在以下问题：___________________________________________。根据贵司与我司签订的</w:t>
      </w:r>
      <w:r>
        <w:rPr>
          <w:rFonts w:hint="eastAsia" w:ascii="宋体" w:hAnsi="宋体" w:eastAsia="宋体" w:cs="Calibri"/>
          <w:szCs w:val="21"/>
        </w:rPr>
        <w:t>《安全生产责任协议书》、《文明施工责任协议书》</w:t>
      </w:r>
      <w:r>
        <w:rPr>
          <w:rFonts w:hint="eastAsia" w:eastAsia="宋体" w:cs="Calibri" w:asciiTheme="minorEastAsia" w:hAnsiTheme="minorEastAsia"/>
        </w:rPr>
        <w:t>，按照《安全质量文明施工违约处罚实施细则》第____________章第_____________条的规定，决定给予_________元违约处罚，违约处罚金为银行转账，限期十日内交至苏州中车建设工程有限公司（银行账户名称</w:t>
      </w:r>
      <w:r>
        <w:rPr>
          <w:rFonts w:hint="eastAsia" w:ascii="宋体" w:hAnsi="宋体" w:eastAsia="宋体" w:cs="宋体"/>
          <w:kern w:val="0"/>
        </w:rPr>
        <w:t>：</w:t>
      </w:r>
      <w:r>
        <w:rPr>
          <w:rFonts w:ascii="宋体" w:hAnsi="宋体" w:eastAsia="宋体" w:cs="宋体"/>
          <w:kern w:val="0"/>
        </w:rPr>
        <w:t>苏州中车建设工程有限公司</w:t>
      </w:r>
      <w:r>
        <w:rPr>
          <w:rFonts w:hint="eastAsia" w:ascii="宋体" w:hAnsi="宋体" w:eastAsia="宋体" w:cs="宋体"/>
          <w:kern w:val="0"/>
        </w:rPr>
        <w:t>；银行卡号</w:t>
      </w:r>
      <w:r>
        <w:rPr>
          <w:rFonts w:hint="eastAsia" w:eastAsia="宋体" w:cs="Calibri" w:asciiTheme="minorEastAsia" w:hAnsiTheme="minorEastAsia"/>
        </w:rPr>
        <w:t>：</w:t>
      </w:r>
      <w:r>
        <w:rPr>
          <w:rFonts w:eastAsia="宋体"/>
          <w:kern w:val="0"/>
        </w:rPr>
        <w:t>7324 4101 8260 0004 476</w:t>
      </w:r>
      <w:r>
        <w:rPr>
          <w:rFonts w:hint="eastAsia" w:ascii="宋体" w:hAnsi="宋体" w:eastAsia="宋体" w:cs="宋体"/>
          <w:kern w:val="0"/>
        </w:rPr>
        <w:t>；开户行：</w:t>
      </w:r>
      <w:r>
        <w:rPr>
          <w:rFonts w:ascii="宋体" w:hAnsi="宋体" w:eastAsia="宋体" w:cs="宋体"/>
          <w:kern w:val="0"/>
        </w:rPr>
        <w:t>中信银行苏州工业园区支行</w:t>
      </w:r>
      <w:r>
        <w:rPr>
          <w:rFonts w:hint="eastAsia" w:eastAsia="宋体" w:cs="Calibri" w:asciiTheme="minorEastAsia" w:hAnsiTheme="minorEastAsia"/>
        </w:rPr>
        <w:t>，并备注工区与处罚单编号）。</w:t>
      </w:r>
    </w:p>
    <w:p>
      <w:pPr>
        <w:widowControl w:val="0"/>
        <w:ind w:firstLine="840" w:firstLineChars="350"/>
        <w:rPr>
          <w:rFonts w:eastAsia="宋体" w:cs="Calibri" w:asciiTheme="minorEastAsia" w:hAnsiTheme="minorEastAsia"/>
        </w:rPr>
      </w:pPr>
    </w:p>
    <w:p>
      <w:pPr>
        <w:widowControl w:val="0"/>
        <w:ind w:firstLine="2880" w:firstLineChars="1200"/>
        <w:jc w:val="center"/>
        <w:rPr>
          <w:rFonts w:eastAsia="宋体" w:cs="Calibri" w:asciiTheme="minorEastAsia" w:hAnsiTheme="minorEastAsia"/>
        </w:rPr>
      </w:pPr>
      <w:r>
        <w:rPr>
          <w:rFonts w:hint="eastAsia" w:eastAsia="宋体" w:cs="Calibri" w:asciiTheme="minorEastAsia" w:hAnsiTheme="minorEastAsia"/>
        </w:rPr>
        <w:t>苏州中车建设工程有限公司</w:t>
      </w:r>
    </w:p>
    <w:p>
      <w:pPr>
        <w:widowControl w:val="0"/>
        <w:ind w:firstLine="2880" w:firstLineChars="1200"/>
        <w:rPr>
          <w:rFonts w:eastAsia="宋体" w:cs="Calibri" w:asciiTheme="minorEastAsia" w:hAnsiTheme="minorEastAsia"/>
        </w:rPr>
      </w:pPr>
      <w:r>
        <w:rPr>
          <w:rFonts w:hint="eastAsia" w:eastAsia="宋体" w:cs="Calibri" w:asciiTheme="minorEastAsia" w:hAnsiTheme="minorEastAsia"/>
        </w:rPr>
        <w:t>台州市域铁路</w:t>
      </w:r>
      <w:r>
        <w:rPr>
          <w:rFonts w:hint="eastAsia"/>
        </w:rPr>
        <w:t>S1线一期PPP项</w:t>
      </w:r>
      <w:r>
        <w:rPr>
          <w:rFonts w:hint="eastAsia" w:eastAsia="宋体" w:cs="Calibri" w:asciiTheme="minorEastAsia" w:hAnsiTheme="minorEastAsia"/>
        </w:rPr>
        <w:t>目工程总承包项目部</w:t>
      </w:r>
    </w:p>
    <w:p>
      <w:pPr>
        <w:widowControl w:val="0"/>
        <w:tabs>
          <w:tab w:val="left" w:pos="960"/>
          <w:tab w:val="left" w:pos="2160"/>
          <w:tab w:val="left" w:pos="3840"/>
          <w:tab w:val="left" w:pos="4800"/>
        </w:tabs>
        <w:ind w:right="480" w:firstLine="4560" w:firstLineChars="1900"/>
        <w:rPr>
          <w:rFonts w:eastAsia="宋体" w:cs="Calibri" w:asciiTheme="minorEastAsia" w:hAnsiTheme="minorEastAsia"/>
        </w:rPr>
      </w:pPr>
      <w:r>
        <w:rPr>
          <w:rFonts w:hint="eastAsia" w:eastAsia="宋体" w:cs="Calibri" w:asciiTheme="minorEastAsia" w:hAnsiTheme="minorEastAsia"/>
        </w:rPr>
        <w:t xml:space="preserve">     年  月  日</w:t>
      </w:r>
    </w:p>
    <w:p>
      <w:pPr>
        <w:widowControl w:val="0"/>
        <w:ind w:firstLine="480"/>
        <w:rPr>
          <w:rFonts w:eastAsia="宋体" w:cs="Calibri" w:asciiTheme="minorEastAsia" w:hAnsiTheme="minorEastAsia"/>
        </w:rPr>
      </w:pPr>
    </w:p>
    <w:p>
      <w:pPr>
        <w:widowControl w:val="0"/>
        <w:ind w:firstLine="480"/>
        <w:rPr>
          <w:rFonts w:eastAsia="宋体" w:cs="Calibri" w:asciiTheme="minorEastAsia" w:hAnsiTheme="minorEastAsia"/>
        </w:rPr>
      </w:pPr>
      <w:r>
        <w:rPr>
          <w:rFonts w:hint="eastAsia" w:eastAsia="宋体" w:cs="Calibri" w:asciiTheme="minorEastAsia" w:hAnsiTheme="minorEastAsia"/>
        </w:rPr>
        <w:t xml:space="preserve">注：本通知书一式三份 </w:t>
      </w:r>
    </w:p>
    <w:p>
      <w:pPr>
        <w:widowControl w:val="0"/>
        <w:ind w:firstLine="480"/>
        <w:rPr>
          <w:rFonts w:eastAsia="宋体" w:cs="Calibri" w:asciiTheme="minorEastAsia" w:hAnsiTheme="minorEastAsia"/>
        </w:rPr>
      </w:pPr>
      <w:r>
        <w:rPr>
          <w:rFonts w:hint="eastAsia" w:eastAsia="宋体" w:cs="Calibri" w:asciiTheme="minorEastAsia" w:hAnsiTheme="minorEastAsia"/>
        </w:rPr>
        <w:t>一联：被处罚工区项目部留存</w:t>
      </w:r>
    </w:p>
    <w:p>
      <w:pPr>
        <w:widowControl w:val="0"/>
        <w:ind w:firstLine="480"/>
        <w:rPr>
          <w:rFonts w:eastAsia="宋体" w:cs="Calibri" w:asciiTheme="minorEastAsia" w:hAnsiTheme="minorEastAsia"/>
        </w:rPr>
      </w:pPr>
      <w:r>
        <w:rPr>
          <w:rFonts w:hint="eastAsia" w:eastAsia="宋体" w:cs="Calibri" w:asciiTheme="minorEastAsia" w:hAnsiTheme="minorEastAsia"/>
        </w:rPr>
        <w:t>二联：苏州中车建工财务部留存</w:t>
      </w:r>
    </w:p>
    <w:p>
      <w:pPr>
        <w:widowControl w:val="0"/>
        <w:ind w:firstLine="480"/>
        <w:rPr>
          <w:rFonts w:eastAsia="宋体" w:cs="Calibri" w:asciiTheme="minorEastAsia" w:hAnsiTheme="minorEastAsia"/>
        </w:rPr>
      </w:pPr>
      <w:r>
        <w:rPr>
          <w:rFonts w:hint="eastAsia" w:eastAsia="宋体" w:cs="Calibri" w:asciiTheme="minorEastAsia" w:hAnsiTheme="minorEastAsia"/>
        </w:rPr>
        <w:t>三联：台州市域铁路</w:t>
      </w:r>
      <w:r>
        <w:rPr>
          <w:rFonts w:hint="eastAsia" w:eastAsia="宋体"/>
          <w:kern w:val="0"/>
        </w:rPr>
        <w:t>S1</w:t>
      </w:r>
      <w:r>
        <w:rPr>
          <w:rFonts w:hint="eastAsia" w:eastAsia="宋体" w:cs="Calibri" w:asciiTheme="minorEastAsia" w:hAnsiTheme="minorEastAsia"/>
        </w:rPr>
        <w:t>线一期</w:t>
      </w:r>
      <w:r>
        <w:rPr>
          <w:rFonts w:hint="eastAsia" w:eastAsia="宋体"/>
          <w:kern w:val="0"/>
        </w:rPr>
        <w:t>PPP</w:t>
      </w:r>
      <w:r>
        <w:rPr>
          <w:rFonts w:hint="eastAsia" w:eastAsia="宋体" w:cs="Calibri" w:asciiTheme="minorEastAsia" w:hAnsiTheme="minorEastAsia"/>
        </w:rPr>
        <w:t>项目工程总承包项目部安质环保部留存</w:t>
      </w:r>
    </w:p>
    <w:p>
      <w:pPr>
        <w:widowControl w:val="0"/>
        <w:ind w:firstLine="480" w:firstLineChars="0"/>
        <w:rPr>
          <w:rFonts w:ascii="宋体" w:hAnsi="宋体" w:eastAsia="宋体" w:cs="Calibri"/>
          <w:szCs w:val="21"/>
        </w:rPr>
      </w:pPr>
    </w:p>
    <w:p>
      <w:pPr>
        <w:widowControl w:val="0"/>
        <w:ind w:firstLine="0" w:firstLineChars="0"/>
        <w:rPr>
          <w:rFonts w:ascii="宋体" w:hAnsi="宋体" w:eastAsia="宋体" w:cs="Calibri"/>
          <w:szCs w:val="21"/>
        </w:rPr>
      </w:pPr>
    </w:p>
    <w:p>
      <w:pPr>
        <w:widowControl w:val="0"/>
        <w:ind w:firstLine="0" w:firstLineChars="0"/>
        <w:rPr>
          <w:rFonts w:ascii="宋体" w:hAnsi="宋体" w:eastAsia="宋体" w:cs="Calibri"/>
          <w:szCs w:val="21"/>
        </w:rPr>
      </w:pPr>
      <w:r>
        <w:rPr>
          <w:rFonts w:hint="eastAsia" w:ascii="宋体" w:hAnsi="宋体" w:eastAsia="宋体" w:cs="Calibri"/>
          <w:szCs w:val="21"/>
        </w:rPr>
        <w:br w:type="page"/>
      </w: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附件2</w:t>
      </w:r>
    </w:p>
    <w:p>
      <w:pPr>
        <w:pStyle w:val="4"/>
        <w:spacing w:before="0" w:after="0" w:line="432" w:lineRule="auto"/>
        <w:ind w:firstLine="0" w:firstLineChars="0"/>
        <w:jc w:val="center"/>
        <w:rPr>
          <w:rFonts w:ascii="宋体" w:hAnsi="宋体" w:eastAsia="宋体"/>
          <w:b w:val="0"/>
          <w:sz w:val="24"/>
          <w:szCs w:val="24"/>
        </w:rPr>
      </w:pPr>
      <w:r>
        <w:rPr>
          <w:rFonts w:hint="eastAsia" w:ascii="宋体" w:hAnsi="宋体" w:eastAsia="宋体"/>
          <w:b w:val="0"/>
          <w:sz w:val="24"/>
          <w:szCs w:val="24"/>
        </w:rPr>
        <w:t>违约处罚申诉单</w:t>
      </w:r>
    </w:p>
    <w:p>
      <w:pPr>
        <w:widowControl w:val="0"/>
        <w:ind w:firstLine="0" w:firstLineChars="0"/>
        <w:rPr>
          <w:rFonts w:ascii="宋体" w:hAnsi="宋体" w:eastAsia="宋体" w:cs="Calibri"/>
        </w:rPr>
      </w:pPr>
      <w:r>
        <w:rPr>
          <w:rFonts w:hint="eastAsia" w:ascii="宋体" w:hAnsi="宋体" w:eastAsia="宋体" w:cs="Calibri"/>
        </w:rPr>
        <w:t>台州市域铁路</w:t>
      </w:r>
      <w:r>
        <w:rPr>
          <w:rFonts w:hint="eastAsia" w:eastAsia="宋体"/>
          <w:kern w:val="0"/>
        </w:rPr>
        <w:t>S1</w:t>
      </w:r>
      <w:r>
        <w:rPr>
          <w:rFonts w:hint="eastAsia" w:ascii="宋体" w:hAnsi="宋体" w:eastAsia="宋体" w:cs="Calibri"/>
        </w:rPr>
        <w:t>线一期</w:t>
      </w:r>
      <w:r>
        <w:rPr>
          <w:rFonts w:hint="eastAsia" w:eastAsia="宋体"/>
          <w:kern w:val="0"/>
        </w:rPr>
        <w:t>PPP</w:t>
      </w:r>
      <w:r>
        <w:rPr>
          <w:rFonts w:hint="eastAsia" w:ascii="宋体" w:hAnsi="宋体" w:eastAsia="宋体" w:cs="Calibri"/>
        </w:rPr>
        <w:t>项目工程总承包项目部：</w:t>
      </w:r>
    </w:p>
    <w:p>
      <w:pPr>
        <w:widowControl w:val="0"/>
        <w:ind w:firstLine="480"/>
        <w:rPr>
          <w:rFonts w:ascii="宋体" w:hAnsi="宋体" w:eastAsia="宋体" w:cs="Calibri"/>
        </w:rPr>
      </w:pPr>
      <w:r>
        <w:rPr>
          <w:rFonts w:hint="eastAsia" w:ascii="宋体" w:hAnsi="宋体" w:eastAsia="宋体" w:cs="Calibri"/>
        </w:rPr>
        <w:t>我公司于</w:t>
      </w:r>
      <w:r>
        <w:rPr>
          <w:rFonts w:hint="eastAsia" w:ascii="宋体" w:hAnsi="宋体" w:eastAsia="宋体" w:cs="Calibri"/>
          <w:u w:val="single"/>
        </w:rPr>
        <w:t xml:space="preserve">    </w:t>
      </w:r>
      <w:r>
        <w:rPr>
          <w:rFonts w:hint="eastAsia" w:ascii="宋体" w:hAnsi="宋体" w:eastAsia="宋体" w:cs="Calibri"/>
        </w:rPr>
        <w:t>年</w:t>
      </w:r>
      <w:r>
        <w:rPr>
          <w:rFonts w:hint="eastAsia" w:ascii="宋体" w:hAnsi="宋体" w:eastAsia="宋体" w:cs="Calibri"/>
          <w:u w:val="single"/>
        </w:rPr>
        <w:t xml:space="preserve">  </w:t>
      </w:r>
      <w:r>
        <w:rPr>
          <w:rFonts w:hint="eastAsia" w:ascii="宋体" w:hAnsi="宋体" w:eastAsia="宋体" w:cs="Calibri"/>
        </w:rPr>
        <w:t>月</w:t>
      </w:r>
      <w:r>
        <w:rPr>
          <w:rFonts w:hint="eastAsia" w:ascii="宋体" w:hAnsi="宋体" w:eastAsia="宋体" w:cs="Calibri"/>
          <w:u w:val="single"/>
        </w:rPr>
        <w:t xml:space="preserve">  </w:t>
      </w:r>
      <w:r>
        <w:rPr>
          <w:rFonts w:hint="eastAsia" w:ascii="宋体" w:hAnsi="宋体" w:eastAsia="宋体" w:cs="Calibri"/>
        </w:rPr>
        <w:t>日收到贵单位开具的编号为</w:t>
      </w:r>
      <w:r>
        <w:rPr>
          <w:rFonts w:hint="eastAsia" w:eastAsia="宋体"/>
          <w:kern w:val="0"/>
        </w:rPr>
        <w:t>NO:</w:t>
      </w:r>
      <w:r>
        <w:rPr>
          <w:rFonts w:hint="eastAsia" w:ascii="宋体" w:hAnsi="宋体" w:eastAsia="宋体" w:cs="Calibri"/>
          <w:u w:val="single"/>
        </w:rPr>
        <w:t xml:space="preserve">       </w:t>
      </w:r>
      <w:r>
        <w:rPr>
          <w:rFonts w:hint="eastAsia" w:ascii="宋体" w:hAnsi="宋体" w:eastAsia="宋体" w:cs="Calibri"/>
        </w:rPr>
        <w:t>的安全文明施工违规违约处罚通知书。我公司对该处罚通知书有异议，现提出申诉，相关证明资料见附件。</w:t>
      </w:r>
    </w:p>
    <w:p>
      <w:pPr>
        <w:widowControl w:val="0"/>
        <w:ind w:firstLine="480"/>
        <w:rPr>
          <w:rFonts w:ascii="宋体" w:hAnsi="宋体" w:eastAsia="宋体" w:cs="Calibri"/>
        </w:rPr>
      </w:pPr>
      <w:r>
        <w:rPr>
          <w:rFonts w:hint="eastAsia" w:ascii="宋体" w:hAnsi="宋体" w:eastAsia="宋体" w:cs="Calibri"/>
        </w:rPr>
        <w:t>申诉理由：</w:t>
      </w: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480"/>
        <w:rPr>
          <w:rFonts w:ascii="宋体" w:hAnsi="宋体" w:eastAsia="宋体" w:cs="Calibri"/>
        </w:rPr>
      </w:pPr>
      <w:r>
        <w:rPr>
          <w:rFonts w:hint="eastAsia" w:ascii="宋体" w:hAnsi="宋体" w:eastAsia="宋体" w:cs="Calibri"/>
        </w:rPr>
        <w:t>附件：</w:t>
      </w: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wordWrap w:val="0"/>
        <w:ind w:firstLine="0" w:firstLineChars="0"/>
        <w:jc w:val="right"/>
        <w:rPr>
          <w:rFonts w:ascii="宋体" w:hAnsi="宋体" w:eastAsia="宋体" w:cs="Calibri"/>
        </w:rPr>
      </w:pPr>
      <w:r>
        <w:rPr>
          <w:rFonts w:hint="eastAsia" w:ascii="宋体" w:hAnsi="宋体" w:eastAsia="宋体" w:cs="Calibri"/>
        </w:rPr>
        <w:t>申诉单位：</w:t>
      </w:r>
      <w:r>
        <w:rPr>
          <w:rFonts w:hint="eastAsia" w:ascii="宋体" w:hAnsi="宋体" w:eastAsia="宋体" w:cs="Calibri"/>
          <w:u w:val="single"/>
        </w:rPr>
        <w:t xml:space="preserve">       （盖章）       </w:t>
      </w:r>
    </w:p>
    <w:p>
      <w:pPr>
        <w:widowControl w:val="0"/>
        <w:spacing w:before="312" w:beforeLines="100" w:line="240" w:lineRule="auto"/>
        <w:ind w:firstLine="0" w:firstLineChars="0"/>
        <w:jc w:val="right"/>
        <w:rPr>
          <w:b/>
          <w:sz w:val="32"/>
          <w:szCs w:val="22"/>
        </w:rPr>
      </w:pPr>
      <w:r>
        <w:rPr>
          <w:rFonts w:hint="eastAsia" w:ascii="宋体" w:hAnsi="宋体" w:eastAsia="宋体" w:cs="Calibri"/>
        </w:rPr>
        <w:t xml:space="preserve">    年   月   日     </w:t>
      </w:r>
    </w:p>
    <w:sectPr>
      <w:footerReference r:id="rId24" w:type="default"/>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82" w:firstLineChars="101"/>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20 -</w:t>
    </w:r>
    <w:r>
      <w:rPr>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wordWrap w:val="0"/>
      <w:ind w:right="216" w:rightChars="90" w:firstLine="560"/>
      <w:jc w:val="right"/>
      <w:rPr>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26745" cy="152400"/>
              <wp:effectExtent l="0" t="0" r="3175" b="635"/>
              <wp:wrapNone/>
              <wp:docPr id="5" name="Text Box 6"/>
              <wp:cNvGraphicFramePr/>
              <a:graphic xmlns:a="http://schemas.openxmlformats.org/drawingml/2006/main">
                <a:graphicData uri="http://schemas.microsoft.com/office/word/2010/wordprocessingShape">
                  <wps:wsp>
                    <wps:cNvSpPr txBox="1">
                      <a:spLocks noChangeArrowheads="1"/>
                    </wps:cNvSpPr>
                    <wps:spPr bwMode="auto">
                      <a:xfrm>
                        <a:off x="0" y="0"/>
                        <a:ext cx="626745" cy="152400"/>
                      </a:xfrm>
                      <a:prstGeom prst="rect">
                        <a:avLst/>
                      </a:prstGeom>
                      <a:noFill/>
                      <a:ln>
                        <a:noFill/>
                      </a:ln>
                    </wps:spPr>
                    <wps:txbx>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92</w:t>
                          </w:r>
                          <w:r>
                            <w:fldChar w:fldCharType="end"/>
                          </w:r>
                          <w:r>
                            <w:rPr>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2pt;width:49.35pt;mso-position-horizontal:center;mso-position-horizontal-relative:margin;mso-wrap-style:none;z-index:251664384;mso-width-relative:page;mso-height-relative:page;" filled="f" stroked="f" coordsize="21600,21600" o:gfxdata="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dKF/RAAAAAwEAAA8AAAAAAAAAAQAgAAAAIgAAAGRycy9kb3ducmV2LnhtbFBLAQIU&#10;ABQAAAAIAIdO4kDKbCDm+gEAAAEEAAAOAAAAAAAAAAEAIAAAACABAABkcnMvZTJvRG9jLnhtbFBL&#10;BQYAAAAABgAGAFkBAACMBQAAAAA=&#10;">
              <v:fill on="f" focussize="0,0"/>
              <v:stroke on="f"/>
              <v:imagedata o:title=""/>
              <o:lock v:ext="edit" aspectratio="f"/>
              <v:textbox inset="0mm,0mm,0mm,0mm" style="mso-fit-shape-to-text:t;">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92</w:t>
                    </w:r>
                    <w:r>
                      <w:fldChar w:fldCharType="end"/>
                    </w:r>
                    <w:r>
                      <w:rPr>
                        <w:rFonts w:hint="eastAsia"/>
                        <w:sz w:val="28"/>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82" w:firstLineChars="101"/>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20 -</w:t>
    </w:r>
    <w:r>
      <w:rPr>
        <w:sz w:val="28"/>
        <w:szCs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wordWrap w:val="0"/>
      <w:ind w:right="216" w:rightChars="90" w:firstLine="560"/>
      <w:jc w:val="right"/>
      <w:rPr>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622300" cy="152400"/>
              <wp:effectExtent l="635" t="0" r="0" b="635"/>
              <wp:wrapNone/>
              <wp:docPr id="3" name="Text Box 7"/>
              <wp:cNvGraphicFramePr/>
              <a:graphic xmlns:a="http://schemas.openxmlformats.org/drawingml/2006/main">
                <a:graphicData uri="http://schemas.microsoft.com/office/word/2010/wordprocessingShape">
                  <wps:wsp>
                    <wps:cNvSpPr txBox="1">
                      <a:spLocks noChangeArrowheads="1"/>
                    </wps:cNvSpPr>
                    <wps:spPr bwMode="auto">
                      <a:xfrm>
                        <a:off x="0" y="0"/>
                        <a:ext cx="622300" cy="152400"/>
                      </a:xfrm>
                      <a:prstGeom prst="rect">
                        <a:avLst/>
                      </a:prstGeom>
                      <a:noFill/>
                      <a:ln>
                        <a:noFill/>
                      </a:ln>
                    </wps:spPr>
                    <wps:txbx>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97</w:t>
                          </w:r>
                          <w:r>
                            <w:fldChar w:fldCharType="end"/>
                          </w:r>
                          <w:r>
                            <w:rPr>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2pt;width:49pt;mso-position-horizontal:center;mso-position-horizontal-relative:margin;mso-wrap-style:none;z-index:251665408;mso-width-relative:page;mso-height-relative:page;" filled="f" stroked="f" coordsize="21600,21600" o:gfxdata="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Jb/Y3QAAAAAwEAAA8AAAAAAAAAAQAgAAAAIgAAAGRycy9kb3ducmV2LnhtbFBLAQIUABQA&#10;AAAIAIdO4kAsvoxN+AEAAAEEAAAOAAAAAAAAAAEAIAAAAB8BAABkcnMvZTJvRG9jLnhtbFBLBQYA&#10;AAAABgAGAFkBAACJBQAAAAA=&#10;">
              <v:fill on="f" focussize="0,0"/>
              <v:stroke on="f"/>
              <v:imagedata o:title=""/>
              <o:lock v:ext="edit" aspectratio="f"/>
              <v:textbox inset="0mm,0mm,0mm,0mm" style="mso-fit-shape-to-text:t;">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97</w:t>
                    </w:r>
                    <w:r>
                      <w:fldChar w:fldCharType="end"/>
                    </w:r>
                    <w:r>
                      <w:rPr>
                        <w:rFonts w:hint="eastAsia"/>
                        <w:sz w:val="28"/>
                        <w:szCs w:val="28"/>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82" w:firstLineChars="101"/>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20 -</w:t>
    </w:r>
    <w:r>
      <w:rPr>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wordWrap w:val="0"/>
      <w:ind w:right="216" w:rightChars="90" w:firstLine="360"/>
      <w:jc w:val="right"/>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94995" cy="152400"/>
              <wp:effectExtent l="0" t="0" r="0" b="1905"/>
              <wp:wrapNone/>
              <wp:docPr id="2" name="Text Box 8"/>
              <wp:cNvGraphicFramePr/>
              <a:graphic xmlns:a="http://schemas.openxmlformats.org/drawingml/2006/main">
                <a:graphicData uri="http://schemas.microsoft.com/office/word/2010/wordprocessingShape">
                  <wps:wsp>
                    <wps:cNvSpPr txBox="1">
                      <a:spLocks noChangeArrowheads="1"/>
                    </wps:cNvSpPr>
                    <wps:spPr bwMode="auto">
                      <a:xfrm>
                        <a:off x="0" y="0"/>
                        <a:ext cx="594995" cy="152400"/>
                      </a:xfrm>
                      <a:prstGeom prst="rect">
                        <a:avLst/>
                      </a:prstGeom>
                      <a:noFill/>
                      <a:ln>
                        <a:noFill/>
                      </a:ln>
                    </wps:spPr>
                    <wps:txbx>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113</w:t>
                          </w:r>
                          <w: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Text Box 8" o:spid="_x0000_s1026" o:spt="202" type="#_x0000_t202" style="position:absolute;left:0pt;margin-top:0pt;height:12pt;width:46.85pt;mso-position-horizontal:center;mso-position-horizontal-relative:margin;mso-wrap-style:none;z-index:251666432;mso-width-relative:page;mso-height-relative:page;" filled="f" stroked="f" coordsize="21600,21600" o:gfxdata="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8llQ0QAAAAMBAAAPAAAAAAAAAAEAIAAAACIAAABkcnMvZG93bnJldi54bWxQSwEC&#10;FAAUAAAACACHTuJAmodhlvsBAAABBAAADgAAAAAAAAABACAAAAAgAQAAZHJzL2Uyb0RvYy54bWxQ&#10;SwUGAAAAAAYABgBZAQAAjQUAAAAA&#10;">
              <v:fill on="f" focussize="0,0"/>
              <v:stroke on="f"/>
              <v:imagedata o:title=""/>
              <o:lock v:ext="edit" aspectratio="f"/>
              <v:textbox inset="0mm,0mm,0mm,0mm" style="mso-fit-shape-to-text:t;">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113</w:t>
                    </w:r>
                    <w: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9735" cy="415290"/>
              <wp:effectExtent l="0" t="0" r="1270" b="0"/>
              <wp:wrapNone/>
              <wp:docPr id="10" name="Text Box 1"/>
              <wp:cNvGraphicFramePr/>
              <a:graphic xmlns:a="http://schemas.openxmlformats.org/drawingml/2006/main">
                <a:graphicData uri="http://schemas.microsoft.com/office/word/2010/wordprocessingShape">
                  <wps:wsp>
                    <wps:cNvSpPr txBox="1">
                      <a:spLocks noChangeArrowheads="1"/>
                    </wps:cNvSpPr>
                    <wps:spPr bwMode="auto">
                      <a:xfrm>
                        <a:off x="0" y="0"/>
                        <a:ext cx="419735" cy="415290"/>
                      </a:xfrm>
                      <a:prstGeom prst="rect">
                        <a:avLst/>
                      </a:prstGeom>
                      <a:noFill/>
                      <a:ln>
                        <a:noFill/>
                      </a:ln>
                    </wps:spPr>
                    <wps:txbx>
                      <w:txbxContent>
                        <w:sdt>
                          <w:sdtPr>
                            <w:id w:val="925684555"/>
                          </w:sdtPr>
                          <w:sdtContent>
                            <w:p>
                              <w:pPr>
                                <w:pStyle w:val="14"/>
                                <w:ind w:firstLine="360"/>
                                <w:jc w:val="center"/>
                              </w:pPr>
                              <w:r>
                                <w:fldChar w:fldCharType="begin"/>
                              </w:r>
                              <w:r>
                                <w:instrText xml:space="preserve">PAGE   \* MERGEFORMAT</w:instrText>
                              </w:r>
                              <w:r>
                                <w:fldChar w:fldCharType="separate"/>
                              </w:r>
                              <w:r>
                                <w:rPr>
                                  <w:lang w:val="zh-CN"/>
                                </w:rPr>
                                <w:t>48</w:t>
                              </w:r>
                              <w:r>
                                <w:rPr>
                                  <w:lang w:val="zh-CN"/>
                                </w:rPr>
                                <w:fldChar w:fldCharType="end"/>
                              </w:r>
                            </w:p>
                          </w:sdtContent>
                        </w:sdt>
                        <w:p>
                          <w:pPr>
                            <w:ind w:firstLine="480"/>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32.7pt;width:33.05pt;mso-position-horizontal:center;mso-position-horizontal-relative:margin;mso-wrap-style:none;z-index:251659264;mso-width-relative:page;mso-height-relative:page;" filled="f" stroked="f" coordsize="21600,21600" o:gfxdata="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YLinRAAAAAwEAAA8AAAAAAAAAAQAgAAAAIgAAAGRycy9kb3ducmV2LnhtbFBLAQIU&#10;ABQAAAAIAIdO4kBF7CKl+gEAAAIEAAAOAAAAAAAAAAEAIAAAACABAABkcnMvZTJvRG9jLnhtbFBL&#10;BQYAAAAABgAGAFkBAACMBQAAAAA=&#10;">
              <v:fill on="f" focussize="0,0"/>
              <v:stroke on="f"/>
              <v:imagedata o:title=""/>
              <o:lock v:ext="edit" aspectratio="f"/>
              <v:textbox inset="0mm,0mm,0mm,0mm" style="mso-fit-shape-to-text:t;">
                <w:txbxContent>
                  <w:sdt>
                    <w:sdtPr>
                      <w:id w:val="925684555"/>
                    </w:sdtPr>
                    <w:sdtContent>
                      <w:p>
                        <w:pPr>
                          <w:pStyle w:val="14"/>
                          <w:ind w:firstLine="360"/>
                          <w:jc w:val="center"/>
                        </w:pPr>
                        <w:r>
                          <w:fldChar w:fldCharType="begin"/>
                        </w:r>
                        <w:r>
                          <w:instrText xml:space="preserve">PAGE   \* MERGEFORMAT</w:instrText>
                        </w:r>
                        <w:r>
                          <w:fldChar w:fldCharType="separate"/>
                        </w:r>
                        <w:r>
                          <w:rPr>
                            <w:lang w:val="zh-CN"/>
                          </w:rPr>
                          <w:t>48</w:t>
                        </w:r>
                        <w:r>
                          <w:rPr>
                            <w:lang w:val="zh-CN"/>
                          </w:rPr>
                          <w:fldChar w:fldCharType="end"/>
                        </w:r>
                      </w:p>
                    </w:sdtContent>
                  </w:sdt>
                  <w:p>
                    <w:pPr>
                      <w:ind w:firstLine="480"/>
                    </w:pPr>
                  </w:p>
                </w:txbxContent>
              </v:textbox>
            </v:shape>
          </w:pict>
        </mc:Fallback>
      </mc:AlternateContent>
    </w:r>
  </w:p>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19735" cy="415290"/>
              <wp:effectExtent l="0" t="0" r="1270" b="0"/>
              <wp:wrapNone/>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419735" cy="415290"/>
                      </a:xfrm>
                      <a:prstGeom prst="rect">
                        <a:avLst/>
                      </a:prstGeom>
                      <a:noFill/>
                      <a:ln>
                        <a:noFill/>
                      </a:ln>
                    </wps:spPr>
                    <wps:txbx>
                      <w:txbxContent>
                        <w:sdt>
                          <w:sdtPr>
                            <w:id w:val="-663246377"/>
                          </w:sdtPr>
                          <w:sdtContent>
                            <w:p>
                              <w:pPr>
                                <w:pStyle w:val="14"/>
                                <w:ind w:firstLine="360"/>
                                <w:jc w:val="center"/>
                              </w:pPr>
                              <w:r>
                                <w:fldChar w:fldCharType="begin"/>
                              </w:r>
                              <w:r>
                                <w:instrText xml:space="preserve">PAGE   \* MERGEFORMAT</w:instrText>
                              </w:r>
                              <w:r>
                                <w:fldChar w:fldCharType="separate"/>
                              </w:r>
                              <w:r>
                                <w:rPr>
                                  <w:lang w:val="zh-CN"/>
                                </w:rPr>
                                <w:t>71</w:t>
                              </w:r>
                              <w:r>
                                <w:rPr>
                                  <w:lang w:val="zh-CN"/>
                                </w:rPr>
                                <w:fldChar w:fldCharType="end"/>
                              </w:r>
                            </w:p>
                          </w:sdtContent>
                        </w:sdt>
                        <w:p>
                          <w:pPr>
                            <w:ind w:firstLine="480"/>
                          </w:pP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32.7pt;width:33.05pt;mso-position-horizontal:center;mso-position-horizontal-relative:margin;mso-wrap-style:none;z-index:251660288;mso-width-relative:page;mso-height-relative:page;" filled="f" stroked="f" coordsize="21600,21600" o:gfxdata="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WC4p0QAAAAMBAAAPAAAAAAAAAAEAIAAAACIAAABkcnMvZG93bnJldi54bWxQSwEC&#10;FAAUAAAACACHTuJAzybRoPsBAAABBAAADgAAAAAAAAABACAAAAAgAQAAZHJzL2Uyb0RvYy54bWxQ&#10;SwUGAAAAAAYABgBZAQAAjQUAAAAA&#10;">
              <v:fill on="f" focussize="0,0"/>
              <v:stroke on="f"/>
              <v:imagedata o:title=""/>
              <o:lock v:ext="edit" aspectratio="f"/>
              <v:textbox inset="0mm,0mm,0mm,0mm" style="mso-fit-shape-to-text:t;">
                <w:txbxContent>
                  <w:sdt>
                    <w:sdtPr>
                      <w:id w:val="-663246377"/>
                    </w:sdtPr>
                    <w:sdtContent>
                      <w:p>
                        <w:pPr>
                          <w:pStyle w:val="14"/>
                          <w:ind w:firstLine="360"/>
                          <w:jc w:val="center"/>
                        </w:pPr>
                        <w:r>
                          <w:fldChar w:fldCharType="begin"/>
                        </w:r>
                        <w:r>
                          <w:instrText xml:space="preserve">PAGE   \* MERGEFORMAT</w:instrText>
                        </w:r>
                        <w:r>
                          <w:fldChar w:fldCharType="separate"/>
                        </w:r>
                        <w:r>
                          <w:rPr>
                            <w:lang w:val="zh-CN"/>
                          </w:rPr>
                          <w:t>71</w:t>
                        </w:r>
                        <w:r>
                          <w:rPr>
                            <w:lang w:val="zh-CN"/>
                          </w:rPr>
                          <w:fldChar w:fldCharType="end"/>
                        </w:r>
                      </w:p>
                    </w:sdtContent>
                  </w:sdt>
                  <w:p>
                    <w:pPr>
                      <w:ind w:firstLine="480"/>
                    </w:pPr>
                  </w:p>
                </w:txbxContent>
              </v:textbox>
            </v:shape>
          </w:pict>
        </mc:Fallback>
      </mc:AlternateContent>
    </w:r>
  </w:p>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wordWrap w:val="0"/>
      <w:ind w:right="216" w:rightChars="90" w:firstLine="560"/>
      <w:jc w:val="righ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37845" cy="152400"/>
              <wp:effectExtent l="0" t="0" r="0" b="635"/>
              <wp:wrapNone/>
              <wp:docPr id="8" name="Text Box 3"/>
              <wp:cNvGraphicFramePr/>
              <a:graphic xmlns:a="http://schemas.openxmlformats.org/drawingml/2006/main">
                <a:graphicData uri="http://schemas.microsoft.com/office/word/2010/wordprocessingShape">
                  <wps:wsp>
                    <wps:cNvSpPr txBox="1">
                      <a:spLocks noChangeArrowheads="1"/>
                    </wps:cNvSpPr>
                    <wps:spPr bwMode="auto">
                      <a:xfrm>
                        <a:off x="0" y="0"/>
                        <a:ext cx="537845" cy="152400"/>
                      </a:xfrm>
                      <a:prstGeom prst="rect">
                        <a:avLst/>
                      </a:prstGeom>
                      <a:noFill/>
                      <a:ln>
                        <a:noFill/>
                      </a:ln>
                    </wps:spPr>
                    <wps:txbx>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113</w:t>
                          </w:r>
                          <w: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2pt;width:42.35pt;mso-position-horizontal:center;mso-position-horizontal-relative:margin;mso-wrap-style:none;z-index:251661312;mso-width-relative:page;mso-height-relative:page;" filled="f" stroked="f" coordsize="21600,21600" o:gfxdata="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2Fc30QAAAAMBAAAPAAAAAAAAAAEAIAAAACIAAABkcnMvZG93bnJldi54bWxQSwEC&#10;FAAUAAAACACHTuJAG9sDt/sBAAABBAAADgAAAAAAAAABACAAAAAgAQAAZHJzL2Uyb0RvYy54bWxQ&#10;SwUGAAAAAAYABgBZAQAAjQUAAAAA&#10;">
              <v:fill on="f" focussize="0,0"/>
              <v:stroke on="f"/>
              <v:imagedata o:title=""/>
              <o:lock v:ext="edit" aspectratio="f"/>
              <v:textbox inset="0mm,0mm,0mm,0mm" style="mso-fit-shape-to-text:t;">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113</w:t>
                    </w:r>
                    <w:r>
                      <w:fldChar w:fldCharType="end"/>
                    </w:r>
                    <w:r>
                      <w:rPr>
                        <w:rFonts w:hint="eastAsia"/>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wordWrap w:val="0"/>
      <w:ind w:right="216" w:rightChars="90" w:firstLine="560"/>
      <w:jc w:val="right"/>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37845" cy="152400"/>
              <wp:effectExtent l="0" t="0" r="0" b="4445"/>
              <wp:wrapNone/>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537845" cy="152400"/>
                      </a:xfrm>
                      <a:prstGeom prst="rect">
                        <a:avLst/>
                      </a:prstGeom>
                      <a:noFill/>
                      <a:ln>
                        <a:noFill/>
                      </a:ln>
                    </wps:spPr>
                    <wps:txbx>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81</w:t>
                          </w:r>
                          <w: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2pt;width:42.35pt;mso-position-horizontal:center;mso-position-horizontal-relative:margin;mso-wrap-style:none;z-index:251662336;mso-width-relative:page;mso-height-relative:page;" filled="f" stroked="f" coordsize="21600,21600" o:gfxdata="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2Fc30QAAAAMBAAAPAAAAAAAAAAEAIAAAACIAAABkcnMvZG93bnJldi54bWxQSwEC&#10;FAAUAAAACACHTuJAuGO4wvsBAAABBAAADgAAAAAAAAABACAAAAAgAQAAZHJzL2Uyb0RvYy54bWxQ&#10;SwUGAAAAAAYABgBZAQAAjQUAAAAA&#10;">
              <v:fill on="f" focussize="0,0"/>
              <v:stroke on="f"/>
              <v:imagedata o:title=""/>
              <o:lock v:ext="edit" aspectratio="f"/>
              <v:textbox inset="0mm,0mm,0mm,0mm" style="mso-fit-shape-to-text:t;">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81</w:t>
                    </w:r>
                    <w:r>
                      <w:fldChar w:fldCharType="end"/>
                    </w:r>
                    <w:r>
                      <w:rPr>
                        <w:rFonts w:hint="eastAsia"/>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wordWrap w:val="0"/>
      <w:ind w:right="216" w:rightChars="90" w:firstLine="560"/>
      <w:jc w:val="right"/>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37845" cy="152400"/>
              <wp:effectExtent l="0" t="0" r="0" b="635"/>
              <wp:wrapNone/>
              <wp:docPr id="6" name="Text Box 5"/>
              <wp:cNvGraphicFramePr/>
              <a:graphic xmlns:a="http://schemas.openxmlformats.org/drawingml/2006/main">
                <a:graphicData uri="http://schemas.microsoft.com/office/word/2010/wordprocessingShape">
                  <wps:wsp>
                    <wps:cNvSpPr txBox="1">
                      <a:spLocks noChangeArrowheads="1"/>
                    </wps:cNvSpPr>
                    <wps:spPr bwMode="auto">
                      <a:xfrm>
                        <a:off x="0" y="0"/>
                        <a:ext cx="537845" cy="152400"/>
                      </a:xfrm>
                      <a:prstGeom prst="rect">
                        <a:avLst/>
                      </a:prstGeom>
                      <a:noFill/>
                      <a:ln>
                        <a:noFill/>
                      </a:ln>
                    </wps:spPr>
                    <wps:txbx>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84</w:t>
                          </w:r>
                          <w: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2pt;width:42.35pt;mso-position-horizontal:center;mso-position-horizontal-relative:margin;mso-wrap-style:none;z-index:251663360;mso-width-relative:page;mso-height-relative:page;" filled="f" stroked="f" coordsize="21600,21600" o:gfxdata="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2Fc30QAAAAMBAAAPAAAAAAAAAAEAIAAAACIAAABkcnMvZG93bnJldi54bWxQSwEC&#10;FAAUAAAACACHTuJAO9DzYvsBAAABBAAADgAAAAAAAAABACAAAAAgAQAAZHJzL2Uyb0RvYy54bWxQ&#10;SwUGAAAAAAYABgBZAQAAjQUAAAAA&#10;">
              <v:fill on="f" focussize="0,0"/>
              <v:stroke on="f"/>
              <v:imagedata o:title=""/>
              <o:lock v:ext="edit" aspectratio="f"/>
              <v:textbox inset="0mm,0mm,0mm,0mm" style="mso-fit-shape-to-text:t;">
                <w:txbxContent>
                  <w:p>
                    <w:pPr>
                      <w:pStyle w:val="14"/>
                      <w:tabs>
                        <w:tab w:val="clear" w:pos="8306"/>
                      </w:tabs>
                      <w:wordWrap w:val="0"/>
                      <w:ind w:right="216" w:rightChars="90" w:firstLine="360"/>
                      <w:jc w:val="right"/>
                    </w:pPr>
                    <w:r>
                      <w:fldChar w:fldCharType="begin"/>
                    </w:r>
                    <w:r>
                      <w:instrText xml:space="preserve"> PAGE   \* MERGEFORMAT </w:instrText>
                    </w:r>
                    <w:r>
                      <w:fldChar w:fldCharType="separate"/>
                    </w:r>
                    <w:r>
                      <w:t>84</w:t>
                    </w:r>
                    <w:r>
                      <w:fldChar w:fldCharType="end"/>
                    </w:r>
                    <w:r>
                      <w:rPr>
                        <w:rFonts w:hint="eastAsia"/>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jc w:val="right"/>
      <w:rPr>
        <w:rFonts w:hint="eastAsia" w:ascii="黑体" w:hAnsi="黑体" w:eastAsia="黑体" w:cs="黑体"/>
        <w:sz w:val="28"/>
        <w:szCs w:val="28"/>
      </w:rPr>
    </w:pPr>
    <w:r>
      <w:rPr>
        <w:rFonts w:hint="eastAsia"/>
      </w:rPr>
      <w:drawing>
        <wp:anchor distT="0" distB="0" distL="0" distR="0" simplePos="0" relativeHeight="251667456" behindDoc="0" locked="0" layoutInCell="1" allowOverlap="1">
          <wp:simplePos x="0" y="0"/>
          <wp:positionH relativeFrom="column">
            <wp:posOffset>55880</wp:posOffset>
          </wp:positionH>
          <wp:positionV relativeFrom="paragraph">
            <wp:posOffset>35560</wp:posOffset>
          </wp:positionV>
          <wp:extent cx="3375660" cy="481965"/>
          <wp:effectExtent l="0" t="0" r="15240" b="13335"/>
          <wp:wrapNone/>
          <wp:docPr id="4"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p>
  <w:p>
    <w:pPr>
      <w:pStyle w:val="15"/>
      <w:pBdr>
        <w:bottom w:val="none" w:color="auto" w:sz="0" w:space="0"/>
      </w:pBdr>
      <w:ind w:firstLine="360"/>
      <w:jc w:val="right"/>
    </w:pPr>
    <w:r>
      <w:rPr>
        <w:rFonts w:hint="eastAsia" w:ascii="黑体" w:hAnsi="黑体" w:eastAsia="黑体" w:cs="黑体"/>
        <w:sz w:val="28"/>
        <w:szCs w:val="28"/>
      </w:rPr>
      <w:t>ZCJG/G-</w:t>
    </w:r>
    <w:r>
      <w:rPr>
        <w:rFonts w:hint="eastAsia" w:ascii="黑体" w:hAnsi="黑体" w:eastAsia="黑体" w:cs="黑体"/>
        <w:sz w:val="28"/>
        <w:szCs w:val="28"/>
        <w:lang w:val="en-US" w:eastAsia="zh-CN"/>
      </w:rPr>
      <w:t>TZZB</w:t>
    </w:r>
    <w:r>
      <w:rPr>
        <w:rFonts w:hint="eastAsia" w:ascii="黑体" w:hAnsi="黑体" w:eastAsia="黑体" w:cs="黑体"/>
        <w:sz w:val="28"/>
        <w:szCs w:val="28"/>
      </w:rPr>
      <w:t>-</w:t>
    </w:r>
    <w:r>
      <w:rPr>
        <w:rFonts w:hint="eastAsia" w:ascii="黑体" w:hAnsi="黑体" w:eastAsia="黑体" w:cs="黑体"/>
        <w:sz w:val="28"/>
        <w:szCs w:val="28"/>
        <w:lang w:val="en-US" w:eastAsia="zh-CN"/>
      </w:rPr>
      <w:t>08</w:t>
    </w:r>
    <w:r>
      <w:rPr>
        <w:rFonts w:hint="eastAsia" w:ascii="黑体" w:hAnsi="黑体" w:eastAsia="黑体" w:cs="黑体"/>
        <w:sz w:val="28"/>
        <w:szCs w:val="28"/>
      </w:rPr>
      <w:t>-</w:t>
    </w:r>
    <w:r>
      <w:rPr>
        <w:rFonts w:hint="eastAsia" w:ascii="黑体" w:hAnsi="黑体" w:eastAsia="黑体" w:cs="黑体"/>
        <w:sz w:val="28"/>
        <w:szCs w:val="28"/>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38C92"/>
    <w:multiLevelType w:val="singleLevel"/>
    <w:tmpl w:val="C0538C92"/>
    <w:lvl w:ilvl="0" w:tentative="0">
      <w:start w:val="1"/>
      <w:numFmt w:val="decimal"/>
      <w:suff w:val="space"/>
      <w:lvlText w:val="%1)"/>
      <w:lvlJc w:val="left"/>
    </w:lvl>
  </w:abstractNum>
  <w:abstractNum w:abstractNumId="1">
    <w:nsid w:val="38357E86"/>
    <w:multiLevelType w:val="multilevel"/>
    <w:tmpl w:val="38357E86"/>
    <w:lvl w:ilvl="0" w:tentative="0">
      <w:start w:val="1"/>
      <w:numFmt w:val="chineseCountingThousand"/>
      <w:pStyle w:val="27"/>
      <w:lvlText w:val="第%1章"/>
      <w:lvlJc w:val="left"/>
      <w:pPr>
        <w:ind w:left="420" w:hanging="420"/>
      </w:pPr>
      <w:rPr>
        <w:rFonts w:asciiTheme="minorEastAsia" w:hAnsiTheme="minorEastAsia" w:eastAsiaTheme="minorEastAsia"/>
        <w:b/>
        <w:bCs w:val="0"/>
        <w:i w:val="0"/>
        <w:iCs w:val="0"/>
        <w:caps w:val="0"/>
        <w:smallCaps w:val="0"/>
        <w:strike w:val="0"/>
        <w:dstrike w:val="0"/>
        <w:vanish w:val="0"/>
        <w:color w:val="000000"/>
        <w:spacing w:val="0"/>
        <w:position w:val="0"/>
        <w:sz w:val="36"/>
        <w:u w:val="none"/>
        <w:vertAlign w:val="baseline"/>
        <w:lang w:val="en-US"/>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6E83D"/>
    <w:multiLevelType w:val="singleLevel"/>
    <w:tmpl w:val="5A66E83D"/>
    <w:lvl w:ilvl="0" w:tentative="0">
      <w:start w:val="1"/>
      <w:numFmt w:val="chineseCounting"/>
      <w:suff w:val="nothing"/>
      <w:lvlText w:val="（%1）"/>
      <w:lvlJc w:val="left"/>
      <w:pPr>
        <w:ind w:left="0" w:firstLine="420"/>
      </w:pPr>
      <w:rPr>
        <w:rFonts w:hint="eastAsia"/>
      </w:rPr>
    </w:lvl>
  </w:abstractNum>
  <w:abstractNum w:abstractNumId="3">
    <w:nsid w:val="5B7F7CC3"/>
    <w:multiLevelType w:val="singleLevel"/>
    <w:tmpl w:val="5B7F7CC3"/>
    <w:lvl w:ilvl="0" w:tentative="0">
      <w:start w:val="1"/>
      <w:numFmt w:val="chineseCounting"/>
      <w:suff w:val="nothing"/>
      <w:lvlText w:val="（%1）"/>
      <w:lvlJc w:val="left"/>
      <w:pPr>
        <w:ind w:left="0" w:firstLine="420"/>
      </w:pPr>
      <w:rPr>
        <w:rFonts w:hint="eastAsia"/>
      </w:rPr>
    </w:lvl>
  </w:abstractNum>
  <w:abstractNum w:abstractNumId="4">
    <w:nsid w:val="674B66D0"/>
    <w:multiLevelType w:val="multilevel"/>
    <w:tmpl w:val="674B66D0"/>
    <w:lvl w:ilvl="0" w:tentative="0">
      <w:start w:val="1"/>
      <w:numFmt w:val="chineseCountingThousand"/>
      <w:pStyle w:val="29"/>
      <w:lvlText w:val="第%1条"/>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田苗旺">
    <w15:presenceInfo w15:providerId="None" w15:userId="田苗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hideSpellingErrors/>
  <w:attachedTemplate r:id="rId1"/>
  <w:documentProtection w:enforcement="0"/>
  <w:defaultTabStop w:val="24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lNzkzZDNmYTk0NTVlNTBiNDRmZmUwZWRhOTllMjMifQ=="/>
  </w:docVars>
  <w:rsids>
    <w:rsidRoot w:val="3EC24005"/>
    <w:rsid w:val="00005CC5"/>
    <w:rsid w:val="00007CB6"/>
    <w:rsid w:val="00010CD3"/>
    <w:rsid w:val="00013E30"/>
    <w:rsid w:val="00014327"/>
    <w:rsid w:val="0002316A"/>
    <w:rsid w:val="000253E8"/>
    <w:rsid w:val="00043AC4"/>
    <w:rsid w:val="000440DA"/>
    <w:rsid w:val="00045B5F"/>
    <w:rsid w:val="00047CD3"/>
    <w:rsid w:val="00052269"/>
    <w:rsid w:val="00054E27"/>
    <w:rsid w:val="00061CB9"/>
    <w:rsid w:val="000629D2"/>
    <w:rsid w:val="00065261"/>
    <w:rsid w:val="00092D6F"/>
    <w:rsid w:val="000A2B52"/>
    <w:rsid w:val="000B0A40"/>
    <w:rsid w:val="000B2569"/>
    <w:rsid w:val="000B38AD"/>
    <w:rsid w:val="000C3D37"/>
    <w:rsid w:val="000C7F06"/>
    <w:rsid w:val="000D061C"/>
    <w:rsid w:val="000D3653"/>
    <w:rsid w:val="000D411C"/>
    <w:rsid w:val="000D5A94"/>
    <w:rsid w:val="000D6135"/>
    <w:rsid w:val="000E0800"/>
    <w:rsid w:val="000E3B86"/>
    <w:rsid w:val="000E58C9"/>
    <w:rsid w:val="000E59CB"/>
    <w:rsid w:val="000F4AFB"/>
    <w:rsid w:val="000F4BBA"/>
    <w:rsid w:val="000F71E9"/>
    <w:rsid w:val="001027AC"/>
    <w:rsid w:val="001058F3"/>
    <w:rsid w:val="0011475B"/>
    <w:rsid w:val="0013356E"/>
    <w:rsid w:val="00141BCB"/>
    <w:rsid w:val="00146637"/>
    <w:rsid w:val="001708B5"/>
    <w:rsid w:val="001727E5"/>
    <w:rsid w:val="0017397E"/>
    <w:rsid w:val="001845BE"/>
    <w:rsid w:val="00184D05"/>
    <w:rsid w:val="0019106D"/>
    <w:rsid w:val="00191E30"/>
    <w:rsid w:val="00194DD7"/>
    <w:rsid w:val="00195072"/>
    <w:rsid w:val="0019583E"/>
    <w:rsid w:val="00196F6F"/>
    <w:rsid w:val="00197213"/>
    <w:rsid w:val="001A3193"/>
    <w:rsid w:val="001B346F"/>
    <w:rsid w:val="001D797E"/>
    <w:rsid w:val="001E621B"/>
    <w:rsid w:val="001F0D2F"/>
    <w:rsid w:val="001F0F23"/>
    <w:rsid w:val="001F1F85"/>
    <w:rsid w:val="001F57A1"/>
    <w:rsid w:val="00203023"/>
    <w:rsid w:val="00213B80"/>
    <w:rsid w:val="00215E9A"/>
    <w:rsid w:val="0021620F"/>
    <w:rsid w:val="00217457"/>
    <w:rsid w:val="002215A7"/>
    <w:rsid w:val="002411F4"/>
    <w:rsid w:val="0024586C"/>
    <w:rsid w:val="002521F7"/>
    <w:rsid w:val="002628AF"/>
    <w:rsid w:val="00262FED"/>
    <w:rsid w:val="0026360C"/>
    <w:rsid w:val="0026435E"/>
    <w:rsid w:val="002649AA"/>
    <w:rsid w:val="00266AB4"/>
    <w:rsid w:val="002674B7"/>
    <w:rsid w:val="00267BB8"/>
    <w:rsid w:val="00285FAE"/>
    <w:rsid w:val="00291507"/>
    <w:rsid w:val="00291DE8"/>
    <w:rsid w:val="00292554"/>
    <w:rsid w:val="00296342"/>
    <w:rsid w:val="00297347"/>
    <w:rsid w:val="002A36E0"/>
    <w:rsid w:val="002A39AB"/>
    <w:rsid w:val="002A49E7"/>
    <w:rsid w:val="002B2378"/>
    <w:rsid w:val="002B6A7E"/>
    <w:rsid w:val="002C5150"/>
    <w:rsid w:val="002C6714"/>
    <w:rsid w:val="002C741F"/>
    <w:rsid w:val="002D0DCF"/>
    <w:rsid w:val="002D5D9E"/>
    <w:rsid w:val="002E5F84"/>
    <w:rsid w:val="002E6114"/>
    <w:rsid w:val="002E713C"/>
    <w:rsid w:val="002F04D6"/>
    <w:rsid w:val="002F484F"/>
    <w:rsid w:val="002F7EAD"/>
    <w:rsid w:val="00301628"/>
    <w:rsid w:val="00303BE2"/>
    <w:rsid w:val="00305519"/>
    <w:rsid w:val="0031195C"/>
    <w:rsid w:val="00312251"/>
    <w:rsid w:val="0031567B"/>
    <w:rsid w:val="003205B8"/>
    <w:rsid w:val="003207A5"/>
    <w:rsid w:val="003221EB"/>
    <w:rsid w:val="00322243"/>
    <w:rsid w:val="00322D33"/>
    <w:rsid w:val="003239FE"/>
    <w:rsid w:val="00324BAD"/>
    <w:rsid w:val="0032790A"/>
    <w:rsid w:val="00331DC4"/>
    <w:rsid w:val="00336D10"/>
    <w:rsid w:val="00337C7A"/>
    <w:rsid w:val="00340F81"/>
    <w:rsid w:val="00342B80"/>
    <w:rsid w:val="00343C02"/>
    <w:rsid w:val="00347E88"/>
    <w:rsid w:val="0035451C"/>
    <w:rsid w:val="003555B0"/>
    <w:rsid w:val="00355D3D"/>
    <w:rsid w:val="00356201"/>
    <w:rsid w:val="00357873"/>
    <w:rsid w:val="00360286"/>
    <w:rsid w:val="003611C6"/>
    <w:rsid w:val="0036235C"/>
    <w:rsid w:val="0037161E"/>
    <w:rsid w:val="00381224"/>
    <w:rsid w:val="00381A06"/>
    <w:rsid w:val="00383B17"/>
    <w:rsid w:val="00391540"/>
    <w:rsid w:val="00394F90"/>
    <w:rsid w:val="00397E12"/>
    <w:rsid w:val="003A0E46"/>
    <w:rsid w:val="003A4282"/>
    <w:rsid w:val="003A4340"/>
    <w:rsid w:val="003B3BD6"/>
    <w:rsid w:val="003B4222"/>
    <w:rsid w:val="003B44AE"/>
    <w:rsid w:val="003B501F"/>
    <w:rsid w:val="003C020F"/>
    <w:rsid w:val="003C4F46"/>
    <w:rsid w:val="003C53CB"/>
    <w:rsid w:val="003C7395"/>
    <w:rsid w:val="003D2B06"/>
    <w:rsid w:val="003D2B7E"/>
    <w:rsid w:val="003D4E9C"/>
    <w:rsid w:val="003E1CAA"/>
    <w:rsid w:val="003E6F48"/>
    <w:rsid w:val="003F1EF4"/>
    <w:rsid w:val="003F4BCA"/>
    <w:rsid w:val="003F7FEB"/>
    <w:rsid w:val="004005D6"/>
    <w:rsid w:val="004058EF"/>
    <w:rsid w:val="00405B54"/>
    <w:rsid w:val="00411443"/>
    <w:rsid w:val="00411776"/>
    <w:rsid w:val="00413BE3"/>
    <w:rsid w:val="004151D2"/>
    <w:rsid w:val="00416DAF"/>
    <w:rsid w:val="00420DA2"/>
    <w:rsid w:val="004238CB"/>
    <w:rsid w:val="00425017"/>
    <w:rsid w:val="00434D5E"/>
    <w:rsid w:val="00444C1C"/>
    <w:rsid w:val="0044702C"/>
    <w:rsid w:val="00450E74"/>
    <w:rsid w:val="004531D5"/>
    <w:rsid w:val="00456A8A"/>
    <w:rsid w:val="00467C79"/>
    <w:rsid w:val="004700A7"/>
    <w:rsid w:val="00471D6E"/>
    <w:rsid w:val="004732ED"/>
    <w:rsid w:val="004757A4"/>
    <w:rsid w:val="004851AE"/>
    <w:rsid w:val="00495525"/>
    <w:rsid w:val="00497FFA"/>
    <w:rsid w:val="004A4028"/>
    <w:rsid w:val="004A52E3"/>
    <w:rsid w:val="004A6B14"/>
    <w:rsid w:val="004B0ED3"/>
    <w:rsid w:val="004C606D"/>
    <w:rsid w:val="004F4673"/>
    <w:rsid w:val="005006F7"/>
    <w:rsid w:val="00512327"/>
    <w:rsid w:val="00513707"/>
    <w:rsid w:val="00514D97"/>
    <w:rsid w:val="00517F35"/>
    <w:rsid w:val="00520F83"/>
    <w:rsid w:val="005370B1"/>
    <w:rsid w:val="005419D1"/>
    <w:rsid w:val="00542563"/>
    <w:rsid w:val="005502A9"/>
    <w:rsid w:val="00550B06"/>
    <w:rsid w:val="00552335"/>
    <w:rsid w:val="00554CCE"/>
    <w:rsid w:val="00556157"/>
    <w:rsid w:val="00560B3C"/>
    <w:rsid w:val="0056119F"/>
    <w:rsid w:val="0057028B"/>
    <w:rsid w:val="00573A9B"/>
    <w:rsid w:val="00582442"/>
    <w:rsid w:val="00583EA9"/>
    <w:rsid w:val="005840A1"/>
    <w:rsid w:val="00586E40"/>
    <w:rsid w:val="00595205"/>
    <w:rsid w:val="00596457"/>
    <w:rsid w:val="00596725"/>
    <w:rsid w:val="00596B10"/>
    <w:rsid w:val="005B535B"/>
    <w:rsid w:val="005C04E2"/>
    <w:rsid w:val="005D2C68"/>
    <w:rsid w:val="005E3022"/>
    <w:rsid w:val="005E368B"/>
    <w:rsid w:val="005E5EDB"/>
    <w:rsid w:val="005E6495"/>
    <w:rsid w:val="005F1741"/>
    <w:rsid w:val="005F424D"/>
    <w:rsid w:val="006024D9"/>
    <w:rsid w:val="006132CE"/>
    <w:rsid w:val="00613A97"/>
    <w:rsid w:val="00621075"/>
    <w:rsid w:val="0062226A"/>
    <w:rsid w:val="00631A36"/>
    <w:rsid w:val="00634014"/>
    <w:rsid w:val="00637413"/>
    <w:rsid w:val="006401C8"/>
    <w:rsid w:val="0066009F"/>
    <w:rsid w:val="00664462"/>
    <w:rsid w:val="00674A07"/>
    <w:rsid w:val="00676E03"/>
    <w:rsid w:val="0067709C"/>
    <w:rsid w:val="00685F3C"/>
    <w:rsid w:val="00690EAC"/>
    <w:rsid w:val="00692842"/>
    <w:rsid w:val="00697161"/>
    <w:rsid w:val="006A000A"/>
    <w:rsid w:val="006A0D90"/>
    <w:rsid w:val="006A0EB7"/>
    <w:rsid w:val="006A4213"/>
    <w:rsid w:val="006A4EB2"/>
    <w:rsid w:val="006B0263"/>
    <w:rsid w:val="006B3DD5"/>
    <w:rsid w:val="006B5E5B"/>
    <w:rsid w:val="006B5E96"/>
    <w:rsid w:val="006B60DA"/>
    <w:rsid w:val="006C0706"/>
    <w:rsid w:val="006C1116"/>
    <w:rsid w:val="006C11F9"/>
    <w:rsid w:val="006C5391"/>
    <w:rsid w:val="006D253A"/>
    <w:rsid w:val="006D4E71"/>
    <w:rsid w:val="006D6E1A"/>
    <w:rsid w:val="006E1FEE"/>
    <w:rsid w:val="006F0F4D"/>
    <w:rsid w:val="006F323C"/>
    <w:rsid w:val="007004E2"/>
    <w:rsid w:val="0070148B"/>
    <w:rsid w:val="00703796"/>
    <w:rsid w:val="0070537B"/>
    <w:rsid w:val="00713935"/>
    <w:rsid w:val="00714AFB"/>
    <w:rsid w:val="00720B73"/>
    <w:rsid w:val="00731328"/>
    <w:rsid w:val="00735002"/>
    <w:rsid w:val="007378C9"/>
    <w:rsid w:val="0074028B"/>
    <w:rsid w:val="007468D0"/>
    <w:rsid w:val="0075113B"/>
    <w:rsid w:val="007549DE"/>
    <w:rsid w:val="00755B4A"/>
    <w:rsid w:val="0075660A"/>
    <w:rsid w:val="0075711B"/>
    <w:rsid w:val="00761E5B"/>
    <w:rsid w:val="00765553"/>
    <w:rsid w:val="00766CDC"/>
    <w:rsid w:val="0077161D"/>
    <w:rsid w:val="00772A23"/>
    <w:rsid w:val="00774EE2"/>
    <w:rsid w:val="007855BE"/>
    <w:rsid w:val="00793572"/>
    <w:rsid w:val="00793C49"/>
    <w:rsid w:val="007A5405"/>
    <w:rsid w:val="007A656F"/>
    <w:rsid w:val="007B67BE"/>
    <w:rsid w:val="007C15E9"/>
    <w:rsid w:val="007C44E5"/>
    <w:rsid w:val="007E7775"/>
    <w:rsid w:val="007E7AAB"/>
    <w:rsid w:val="007F3C0F"/>
    <w:rsid w:val="007F63DD"/>
    <w:rsid w:val="007F7A6D"/>
    <w:rsid w:val="007F7F8E"/>
    <w:rsid w:val="008046E0"/>
    <w:rsid w:val="00807195"/>
    <w:rsid w:val="00814F91"/>
    <w:rsid w:val="00815A59"/>
    <w:rsid w:val="008211E8"/>
    <w:rsid w:val="0082305A"/>
    <w:rsid w:val="00827A6F"/>
    <w:rsid w:val="00832838"/>
    <w:rsid w:val="00852648"/>
    <w:rsid w:val="00854CFD"/>
    <w:rsid w:val="00867160"/>
    <w:rsid w:val="00876881"/>
    <w:rsid w:val="008842C9"/>
    <w:rsid w:val="00886F3D"/>
    <w:rsid w:val="008964CF"/>
    <w:rsid w:val="008B0160"/>
    <w:rsid w:val="008C695A"/>
    <w:rsid w:val="008C699D"/>
    <w:rsid w:val="008D328E"/>
    <w:rsid w:val="008F4C22"/>
    <w:rsid w:val="00900264"/>
    <w:rsid w:val="00901F99"/>
    <w:rsid w:val="0090394E"/>
    <w:rsid w:val="009167B3"/>
    <w:rsid w:val="0092598B"/>
    <w:rsid w:val="009269F3"/>
    <w:rsid w:val="00931A91"/>
    <w:rsid w:val="00937AA2"/>
    <w:rsid w:val="0094254E"/>
    <w:rsid w:val="00944FE0"/>
    <w:rsid w:val="00965C66"/>
    <w:rsid w:val="00975CCC"/>
    <w:rsid w:val="00991BD8"/>
    <w:rsid w:val="00992061"/>
    <w:rsid w:val="00993F9E"/>
    <w:rsid w:val="009A1A7B"/>
    <w:rsid w:val="009A3C3A"/>
    <w:rsid w:val="009B26ED"/>
    <w:rsid w:val="009C1254"/>
    <w:rsid w:val="009C2CC9"/>
    <w:rsid w:val="009F10A8"/>
    <w:rsid w:val="009F3B81"/>
    <w:rsid w:val="00A011B8"/>
    <w:rsid w:val="00A04F54"/>
    <w:rsid w:val="00A0575C"/>
    <w:rsid w:val="00A06FAD"/>
    <w:rsid w:val="00A075D6"/>
    <w:rsid w:val="00A10702"/>
    <w:rsid w:val="00A10C18"/>
    <w:rsid w:val="00A175BF"/>
    <w:rsid w:val="00A32155"/>
    <w:rsid w:val="00A33DAD"/>
    <w:rsid w:val="00A34658"/>
    <w:rsid w:val="00A41A1F"/>
    <w:rsid w:val="00A46C3C"/>
    <w:rsid w:val="00A47191"/>
    <w:rsid w:val="00A52768"/>
    <w:rsid w:val="00A5286A"/>
    <w:rsid w:val="00A52D34"/>
    <w:rsid w:val="00A60B0F"/>
    <w:rsid w:val="00A6249D"/>
    <w:rsid w:val="00A62D8E"/>
    <w:rsid w:val="00A702A1"/>
    <w:rsid w:val="00A928BF"/>
    <w:rsid w:val="00A940E8"/>
    <w:rsid w:val="00A96724"/>
    <w:rsid w:val="00A96B7D"/>
    <w:rsid w:val="00A9739F"/>
    <w:rsid w:val="00AA0E63"/>
    <w:rsid w:val="00AA36AC"/>
    <w:rsid w:val="00AA51DD"/>
    <w:rsid w:val="00AA622C"/>
    <w:rsid w:val="00AD3FC0"/>
    <w:rsid w:val="00AD7197"/>
    <w:rsid w:val="00AE175C"/>
    <w:rsid w:val="00AE23DA"/>
    <w:rsid w:val="00AE26E1"/>
    <w:rsid w:val="00AF0303"/>
    <w:rsid w:val="00B00D46"/>
    <w:rsid w:val="00B04068"/>
    <w:rsid w:val="00B0519B"/>
    <w:rsid w:val="00B05AC0"/>
    <w:rsid w:val="00B1066F"/>
    <w:rsid w:val="00B2572D"/>
    <w:rsid w:val="00B309B3"/>
    <w:rsid w:val="00B31E9C"/>
    <w:rsid w:val="00B323D4"/>
    <w:rsid w:val="00B377BE"/>
    <w:rsid w:val="00B43C66"/>
    <w:rsid w:val="00B51972"/>
    <w:rsid w:val="00B52D30"/>
    <w:rsid w:val="00B54CB9"/>
    <w:rsid w:val="00B57505"/>
    <w:rsid w:val="00B614A3"/>
    <w:rsid w:val="00B65EBE"/>
    <w:rsid w:val="00B71291"/>
    <w:rsid w:val="00B76F0A"/>
    <w:rsid w:val="00B804EC"/>
    <w:rsid w:val="00B829FF"/>
    <w:rsid w:val="00B94E22"/>
    <w:rsid w:val="00B95D3F"/>
    <w:rsid w:val="00BA087B"/>
    <w:rsid w:val="00BA5B79"/>
    <w:rsid w:val="00BA6F40"/>
    <w:rsid w:val="00BB2C3B"/>
    <w:rsid w:val="00BB520D"/>
    <w:rsid w:val="00BB5E4A"/>
    <w:rsid w:val="00BB62D9"/>
    <w:rsid w:val="00BD03C2"/>
    <w:rsid w:val="00BD4FB2"/>
    <w:rsid w:val="00BE04F0"/>
    <w:rsid w:val="00BE0EB4"/>
    <w:rsid w:val="00BE6C5E"/>
    <w:rsid w:val="00BE7141"/>
    <w:rsid w:val="00BF2DFA"/>
    <w:rsid w:val="00BF5899"/>
    <w:rsid w:val="00BF70CA"/>
    <w:rsid w:val="00C047C1"/>
    <w:rsid w:val="00C12868"/>
    <w:rsid w:val="00C12C9B"/>
    <w:rsid w:val="00C14852"/>
    <w:rsid w:val="00C23E0F"/>
    <w:rsid w:val="00C24C41"/>
    <w:rsid w:val="00C25D52"/>
    <w:rsid w:val="00C31E07"/>
    <w:rsid w:val="00C341C6"/>
    <w:rsid w:val="00C4045B"/>
    <w:rsid w:val="00C47D11"/>
    <w:rsid w:val="00C52340"/>
    <w:rsid w:val="00C52F6A"/>
    <w:rsid w:val="00C55D2E"/>
    <w:rsid w:val="00C57062"/>
    <w:rsid w:val="00C5760E"/>
    <w:rsid w:val="00C62CCF"/>
    <w:rsid w:val="00C664EB"/>
    <w:rsid w:val="00C74133"/>
    <w:rsid w:val="00C75655"/>
    <w:rsid w:val="00C75D56"/>
    <w:rsid w:val="00C7694F"/>
    <w:rsid w:val="00C85C5F"/>
    <w:rsid w:val="00C93C37"/>
    <w:rsid w:val="00C94E0D"/>
    <w:rsid w:val="00CA0262"/>
    <w:rsid w:val="00CC2541"/>
    <w:rsid w:val="00CC2951"/>
    <w:rsid w:val="00CC6C15"/>
    <w:rsid w:val="00CC7FC3"/>
    <w:rsid w:val="00CE02D2"/>
    <w:rsid w:val="00CE0DDC"/>
    <w:rsid w:val="00CE1E08"/>
    <w:rsid w:val="00CE2BD2"/>
    <w:rsid w:val="00CE563B"/>
    <w:rsid w:val="00CE607C"/>
    <w:rsid w:val="00CE70FE"/>
    <w:rsid w:val="00D00054"/>
    <w:rsid w:val="00D04FD8"/>
    <w:rsid w:val="00D1372B"/>
    <w:rsid w:val="00D16F3C"/>
    <w:rsid w:val="00D270D1"/>
    <w:rsid w:val="00D3053D"/>
    <w:rsid w:val="00D31A88"/>
    <w:rsid w:val="00D47C9F"/>
    <w:rsid w:val="00D50985"/>
    <w:rsid w:val="00D52C1F"/>
    <w:rsid w:val="00D54402"/>
    <w:rsid w:val="00D6290A"/>
    <w:rsid w:val="00D66A71"/>
    <w:rsid w:val="00D710EF"/>
    <w:rsid w:val="00D729D1"/>
    <w:rsid w:val="00D744D9"/>
    <w:rsid w:val="00D763A7"/>
    <w:rsid w:val="00D874B5"/>
    <w:rsid w:val="00D90A67"/>
    <w:rsid w:val="00D937FB"/>
    <w:rsid w:val="00D95E3E"/>
    <w:rsid w:val="00DA5C09"/>
    <w:rsid w:val="00DB6241"/>
    <w:rsid w:val="00DC027D"/>
    <w:rsid w:val="00DC0D4F"/>
    <w:rsid w:val="00DC149E"/>
    <w:rsid w:val="00DC3633"/>
    <w:rsid w:val="00DC66BA"/>
    <w:rsid w:val="00DD0535"/>
    <w:rsid w:val="00DD2760"/>
    <w:rsid w:val="00DD52C7"/>
    <w:rsid w:val="00DD66FE"/>
    <w:rsid w:val="00DE0FC3"/>
    <w:rsid w:val="00DF0C8F"/>
    <w:rsid w:val="00DF2D7F"/>
    <w:rsid w:val="00DF3EB4"/>
    <w:rsid w:val="00DF7BFA"/>
    <w:rsid w:val="00E036B7"/>
    <w:rsid w:val="00E04387"/>
    <w:rsid w:val="00E046F2"/>
    <w:rsid w:val="00E04E0B"/>
    <w:rsid w:val="00E1215A"/>
    <w:rsid w:val="00E126B3"/>
    <w:rsid w:val="00E13E26"/>
    <w:rsid w:val="00E16EDC"/>
    <w:rsid w:val="00E17F67"/>
    <w:rsid w:val="00E2240C"/>
    <w:rsid w:val="00E25AF4"/>
    <w:rsid w:val="00E3006C"/>
    <w:rsid w:val="00E34669"/>
    <w:rsid w:val="00E35CFD"/>
    <w:rsid w:val="00E42D92"/>
    <w:rsid w:val="00E474BE"/>
    <w:rsid w:val="00E476BE"/>
    <w:rsid w:val="00E47EE8"/>
    <w:rsid w:val="00E50823"/>
    <w:rsid w:val="00E50E6C"/>
    <w:rsid w:val="00E77580"/>
    <w:rsid w:val="00E80045"/>
    <w:rsid w:val="00E81117"/>
    <w:rsid w:val="00E92AF1"/>
    <w:rsid w:val="00EA211E"/>
    <w:rsid w:val="00EA34EE"/>
    <w:rsid w:val="00EA4E76"/>
    <w:rsid w:val="00EB0563"/>
    <w:rsid w:val="00EB1306"/>
    <w:rsid w:val="00EB1502"/>
    <w:rsid w:val="00EC0FC5"/>
    <w:rsid w:val="00EC2AE3"/>
    <w:rsid w:val="00EC2F6F"/>
    <w:rsid w:val="00EC4319"/>
    <w:rsid w:val="00EC5805"/>
    <w:rsid w:val="00ED14A4"/>
    <w:rsid w:val="00ED39E1"/>
    <w:rsid w:val="00ED7B78"/>
    <w:rsid w:val="00EE05B7"/>
    <w:rsid w:val="00EE5329"/>
    <w:rsid w:val="00EE5E29"/>
    <w:rsid w:val="00EF078A"/>
    <w:rsid w:val="00EF7DF9"/>
    <w:rsid w:val="00F04122"/>
    <w:rsid w:val="00F048F6"/>
    <w:rsid w:val="00F07FE0"/>
    <w:rsid w:val="00F1023C"/>
    <w:rsid w:val="00F10785"/>
    <w:rsid w:val="00F118BB"/>
    <w:rsid w:val="00F17DF4"/>
    <w:rsid w:val="00F206EF"/>
    <w:rsid w:val="00F21BD1"/>
    <w:rsid w:val="00F22F12"/>
    <w:rsid w:val="00F25F5A"/>
    <w:rsid w:val="00F30C39"/>
    <w:rsid w:val="00F31039"/>
    <w:rsid w:val="00F324B2"/>
    <w:rsid w:val="00F32DFF"/>
    <w:rsid w:val="00F40121"/>
    <w:rsid w:val="00F55B27"/>
    <w:rsid w:val="00F70F7F"/>
    <w:rsid w:val="00F711B1"/>
    <w:rsid w:val="00F82420"/>
    <w:rsid w:val="00F8255C"/>
    <w:rsid w:val="00F84BA0"/>
    <w:rsid w:val="00F86450"/>
    <w:rsid w:val="00F86DB7"/>
    <w:rsid w:val="00FB0C11"/>
    <w:rsid w:val="00FB5CD1"/>
    <w:rsid w:val="00FC2E30"/>
    <w:rsid w:val="00FC5415"/>
    <w:rsid w:val="00FD2657"/>
    <w:rsid w:val="00FD5FF6"/>
    <w:rsid w:val="00FE56C1"/>
    <w:rsid w:val="00FF10A8"/>
    <w:rsid w:val="00FF56B6"/>
    <w:rsid w:val="028E08EB"/>
    <w:rsid w:val="072F64D4"/>
    <w:rsid w:val="08F7200F"/>
    <w:rsid w:val="0AB66847"/>
    <w:rsid w:val="0E862C9E"/>
    <w:rsid w:val="115B64C7"/>
    <w:rsid w:val="157671FD"/>
    <w:rsid w:val="162E3311"/>
    <w:rsid w:val="16B166FD"/>
    <w:rsid w:val="1C751A09"/>
    <w:rsid w:val="21272998"/>
    <w:rsid w:val="23050B59"/>
    <w:rsid w:val="238B2204"/>
    <w:rsid w:val="27CC43D1"/>
    <w:rsid w:val="27EF06B9"/>
    <w:rsid w:val="29F726DD"/>
    <w:rsid w:val="2A006CC6"/>
    <w:rsid w:val="2A06420A"/>
    <w:rsid w:val="2AEF0A35"/>
    <w:rsid w:val="2C641113"/>
    <w:rsid w:val="2FB71820"/>
    <w:rsid w:val="304F47D5"/>
    <w:rsid w:val="32F109CD"/>
    <w:rsid w:val="33163725"/>
    <w:rsid w:val="35C26E2A"/>
    <w:rsid w:val="35D57D0D"/>
    <w:rsid w:val="37AA7359"/>
    <w:rsid w:val="3A5B03B9"/>
    <w:rsid w:val="3B9B0D1D"/>
    <w:rsid w:val="3EC24005"/>
    <w:rsid w:val="41A37EB5"/>
    <w:rsid w:val="44570B79"/>
    <w:rsid w:val="44D81813"/>
    <w:rsid w:val="46371709"/>
    <w:rsid w:val="46575920"/>
    <w:rsid w:val="49081731"/>
    <w:rsid w:val="4BF22FFE"/>
    <w:rsid w:val="4ED16EA4"/>
    <w:rsid w:val="50F561A9"/>
    <w:rsid w:val="51281AFC"/>
    <w:rsid w:val="534E018E"/>
    <w:rsid w:val="5986705D"/>
    <w:rsid w:val="59F55509"/>
    <w:rsid w:val="59FC338F"/>
    <w:rsid w:val="67C13063"/>
    <w:rsid w:val="69053522"/>
    <w:rsid w:val="693C7B01"/>
    <w:rsid w:val="6B851E42"/>
    <w:rsid w:val="6D4B0A05"/>
    <w:rsid w:val="6D535020"/>
    <w:rsid w:val="715B6308"/>
    <w:rsid w:val="740B0A46"/>
    <w:rsid w:val="74982E76"/>
    <w:rsid w:val="7A577317"/>
    <w:rsid w:val="7DDC6A79"/>
    <w:rsid w:val="7E1F4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imes New Roman" w:hAnsi="Times New Roman" w:cs="Times New Roman" w:eastAsiaTheme="minorEastAsia"/>
      <w:kern w:val="2"/>
      <w:sz w:val="24"/>
      <w:szCs w:val="24"/>
      <w:lang w:val="en-US" w:eastAsia="zh-CN" w:bidi="ar-SA"/>
    </w:rPr>
  </w:style>
  <w:style w:type="paragraph" w:styleId="2">
    <w:name w:val="heading 1"/>
    <w:basedOn w:val="1"/>
    <w:next w:val="1"/>
    <w:link w:val="37"/>
    <w:qFormat/>
    <w:uiPriority w:val="0"/>
    <w:pPr>
      <w:keepNext/>
      <w:keepLines/>
      <w:spacing w:before="220" w:after="210" w:line="240" w:lineRule="auto"/>
      <w:ind w:firstLine="0" w:firstLineChars="0"/>
      <w:jc w:val="center"/>
      <w:outlineLvl w:val="0"/>
    </w:pPr>
    <w:rPr>
      <w:b/>
      <w:bCs/>
      <w:kern w:val="44"/>
      <w:sz w:val="36"/>
      <w:szCs w:val="44"/>
    </w:rPr>
  </w:style>
  <w:style w:type="paragraph" w:styleId="3">
    <w:name w:val="heading 2"/>
    <w:basedOn w:val="1"/>
    <w:next w:val="1"/>
    <w:link w:val="35"/>
    <w:unhideWhenUsed/>
    <w:qFormat/>
    <w:uiPriority w:val="0"/>
    <w:pPr>
      <w:keepNext/>
      <w:keepLines/>
      <w:spacing w:before="140" w:after="140" w:line="240" w:lineRule="auto"/>
      <w:ind w:firstLine="0" w:firstLineChars="0"/>
      <w:jc w:val="center"/>
      <w:outlineLvl w:val="1"/>
    </w:pPr>
    <w:rPr>
      <w:rFonts w:asciiTheme="majorHAnsi" w:hAnsiTheme="majorHAnsi" w:eastAsiaTheme="majorEastAsia" w:cstheme="majorBidi"/>
      <w:b/>
      <w:bCs/>
      <w:sz w:val="32"/>
      <w:szCs w:val="32"/>
    </w:rPr>
  </w:style>
  <w:style w:type="paragraph" w:styleId="4">
    <w:name w:val="heading 3"/>
    <w:basedOn w:val="1"/>
    <w:next w:val="1"/>
    <w:link w:val="40"/>
    <w:unhideWhenUsed/>
    <w:qFormat/>
    <w:uiPriority w:val="0"/>
    <w:pPr>
      <w:keepNext/>
      <w:keepLines/>
      <w:spacing w:before="260" w:after="260" w:line="416" w:lineRule="auto"/>
      <w:outlineLvl w:val="2"/>
    </w:pPr>
    <w:rPr>
      <w:b/>
      <w:bCs/>
      <w:sz w:val="32"/>
      <w:szCs w:val="32"/>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440"/>
      <w:jc w:val="left"/>
    </w:pPr>
    <w:rPr>
      <w:rFonts w:asciiTheme="minorHAnsi" w:hAnsiTheme="minorHAnsi"/>
      <w:sz w:val="18"/>
      <w:szCs w:val="18"/>
    </w:rPr>
  </w:style>
  <w:style w:type="paragraph" w:styleId="6">
    <w:name w:val="caption"/>
    <w:basedOn w:val="1"/>
    <w:next w:val="1"/>
    <w:unhideWhenUsed/>
    <w:qFormat/>
    <w:uiPriority w:val="35"/>
    <w:pPr>
      <w:widowControl w:val="0"/>
      <w:spacing w:line="240" w:lineRule="auto"/>
      <w:ind w:firstLine="0" w:firstLineChars="0"/>
    </w:pPr>
    <w:rPr>
      <w:rFonts w:ascii="Cambria" w:hAnsi="Cambria" w:eastAsia="黑体" w:cstheme="minorBidi"/>
      <w:sz w:val="20"/>
      <w:szCs w:val="20"/>
    </w:rPr>
  </w:style>
  <w:style w:type="paragraph" w:styleId="7">
    <w:name w:val="Document Map"/>
    <w:basedOn w:val="1"/>
    <w:link w:val="49"/>
    <w:qFormat/>
    <w:uiPriority w:val="0"/>
    <w:rPr>
      <w:rFonts w:ascii="宋体" w:eastAsia="宋体"/>
      <w:sz w:val="18"/>
      <w:szCs w:val="18"/>
    </w:rPr>
  </w:style>
  <w:style w:type="paragraph" w:styleId="8">
    <w:name w:val="toa heading"/>
    <w:basedOn w:val="1"/>
    <w:next w:val="1"/>
    <w:qFormat/>
    <w:uiPriority w:val="0"/>
    <w:pPr>
      <w:spacing w:before="120"/>
    </w:pPr>
    <w:rPr>
      <w:rFonts w:eastAsia="宋体" w:asciiTheme="majorHAnsi" w:hAnsiTheme="majorHAnsi" w:cstheme="majorBidi"/>
    </w:rPr>
  </w:style>
  <w:style w:type="paragraph" w:styleId="9">
    <w:name w:val="annotation text"/>
    <w:basedOn w:val="1"/>
    <w:link w:val="33"/>
    <w:qFormat/>
    <w:uiPriority w:val="99"/>
    <w:pPr>
      <w:widowControl w:val="0"/>
      <w:spacing w:line="240" w:lineRule="auto"/>
      <w:ind w:firstLine="0" w:firstLineChars="0"/>
      <w:jc w:val="left"/>
    </w:pPr>
    <w:rPr>
      <w:rFonts w:eastAsia="宋体"/>
      <w:kern w:val="0"/>
      <w:sz w:val="20"/>
    </w:rPr>
  </w:style>
  <w:style w:type="paragraph" w:styleId="10">
    <w:name w:val="toc 5"/>
    <w:basedOn w:val="1"/>
    <w:next w:val="1"/>
    <w:qFormat/>
    <w:uiPriority w:val="0"/>
    <w:pPr>
      <w:ind w:left="960"/>
      <w:jc w:val="left"/>
    </w:pPr>
    <w:rPr>
      <w:rFonts w:asciiTheme="minorHAnsi" w:hAnsiTheme="minorHAnsi"/>
      <w:sz w:val="18"/>
      <w:szCs w:val="18"/>
    </w:rPr>
  </w:style>
  <w:style w:type="paragraph" w:styleId="11">
    <w:name w:val="toc 3"/>
    <w:basedOn w:val="1"/>
    <w:next w:val="1"/>
    <w:qFormat/>
    <w:uiPriority w:val="0"/>
    <w:pPr>
      <w:ind w:left="480"/>
      <w:jc w:val="left"/>
    </w:pPr>
    <w:rPr>
      <w:rFonts w:asciiTheme="minorHAnsi" w:hAnsiTheme="minorHAnsi"/>
      <w:i/>
      <w:iCs/>
      <w:sz w:val="20"/>
      <w:szCs w:val="20"/>
    </w:rPr>
  </w:style>
  <w:style w:type="paragraph" w:styleId="12">
    <w:name w:val="toc 8"/>
    <w:basedOn w:val="1"/>
    <w:next w:val="1"/>
    <w:qFormat/>
    <w:uiPriority w:val="0"/>
    <w:pPr>
      <w:ind w:left="1680"/>
      <w:jc w:val="left"/>
    </w:pPr>
    <w:rPr>
      <w:rFonts w:asciiTheme="minorHAnsi" w:hAnsiTheme="minorHAnsi"/>
      <w:sz w:val="18"/>
      <w:szCs w:val="18"/>
    </w:rPr>
  </w:style>
  <w:style w:type="paragraph" w:styleId="13">
    <w:name w:val="Balloon Text"/>
    <w:basedOn w:val="1"/>
    <w:link w:val="48"/>
    <w:qFormat/>
    <w:uiPriority w:val="0"/>
    <w:pPr>
      <w:spacing w:line="240" w:lineRule="auto"/>
    </w:pPr>
    <w:rPr>
      <w:sz w:val="18"/>
      <w:szCs w:val="18"/>
    </w:rPr>
  </w:style>
  <w:style w:type="paragraph" w:styleId="14">
    <w:name w:val="footer"/>
    <w:basedOn w:val="1"/>
    <w:link w:val="32"/>
    <w:qFormat/>
    <w:uiPriority w:val="0"/>
    <w:pPr>
      <w:tabs>
        <w:tab w:val="center" w:pos="4153"/>
        <w:tab w:val="right" w:pos="8306"/>
      </w:tabs>
      <w:snapToGrid w:val="0"/>
      <w:spacing w:line="240" w:lineRule="atLeast"/>
      <w:jc w:val="left"/>
    </w:pPr>
    <w:rPr>
      <w:sz w:val="18"/>
      <w:szCs w:val="18"/>
    </w:rPr>
  </w:style>
  <w:style w:type="paragraph" w:styleId="15">
    <w:name w:val="header"/>
    <w:basedOn w:val="1"/>
    <w:link w:val="3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basedOn w:val="1"/>
    <w:next w:val="1"/>
    <w:qFormat/>
    <w:uiPriority w:val="0"/>
    <w:pPr>
      <w:spacing w:before="120" w:after="120" w:line="336" w:lineRule="auto"/>
      <w:ind w:firstLine="0" w:firstLineChars="0"/>
      <w:jc w:val="left"/>
    </w:pPr>
    <w:rPr>
      <w:rFonts w:asciiTheme="minorHAnsi" w:hAnsiTheme="minorHAnsi"/>
      <w:bCs/>
      <w:caps/>
      <w:szCs w:val="20"/>
    </w:rPr>
  </w:style>
  <w:style w:type="paragraph" w:styleId="17">
    <w:name w:val="toc 4"/>
    <w:basedOn w:val="1"/>
    <w:next w:val="1"/>
    <w:qFormat/>
    <w:uiPriority w:val="0"/>
    <w:pPr>
      <w:ind w:left="720"/>
      <w:jc w:val="left"/>
    </w:pPr>
    <w:rPr>
      <w:rFonts w:asciiTheme="minorHAnsi" w:hAnsiTheme="minorHAnsi"/>
      <w:sz w:val="18"/>
      <w:szCs w:val="18"/>
    </w:rPr>
  </w:style>
  <w:style w:type="paragraph" w:styleId="18">
    <w:name w:val="toc 6"/>
    <w:basedOn w:val="1"/>
    <w:next w:val="1"/>
    <w:qFormat/>
    <w:uiPriority w:val="0"/>
    <w:pPr>
      <w:ind w:left="1200"/>
      <w:jc w:val="left"/>
    </w:pPr>
    <w:rPr>
      <w:rFonts w:asciiTheme="minorHAnsi" w:hAnsiTheme="minorHAnsi"/>
      <w:sz w:val="18"/>
      <w:szCs w:val="18"/>
    </w:rPr>
  </w:style>
  <w:style w:type="paragraph" w:styleId="19">
    <w:name w:val="toc 2"/>
    <w:basedOn w:val="1"/>
    <w:next w:val="1"/>
    <w:qFormat/>
    <w:uiPriority w:val="39"/>
    <w:pPr>
      <w:tabs>
        <w:tab w:val="left" w:pos="1680"/>
        <w:tab w:val="right" w:leader="dot" w:pos="8721"/>
      </w:tabs>
      <w:ind w:left="240" w:firstLine="400"/>
      <w:jc w:val="center"/>
    </w:pPr>
    <w:rPr>
      <w:rFonts w:asciiTheme="minorHAnsi" w:hAnsiTheme="minorHAnsi"/>
      <w:smallCaps/>
      <w:szCs w:val="20"/>
    </w:rPr>
  </w:style>
  <w:style w:type="paragraph" w:styleId="20">
    <w:name w:val="toc 9"/>
    <w:basedOn w:val="1"/>
    <w:next w:val="1"/>
    <w:qFormat/>
    <w:uiPriority w:val="0"/>
    <w:pPr>
      <w:ind w:left="1920"/>
      <w:jc w:val="left"/>
    </w:pPr>
    <w:rPr>
      <w:rFonts w:asciiTheme="minorHAnsi" w:hAnsiTheme="minorHAnsi"/>
      <w:sz w:val="18"/>
      <w:szCs w:val="18"/>
    </w:rPr>
  </w:style>
  <w:style w:type="paragraph" w:styleId="21">
    <w:name w:val="Normal (Web)"/>
    <w:basedOn w:val="1"/>
    <w:qFormat/>
    <w:uiPriority w:val="0"/>
    <w:pPr>
      <w:spacing w:before="100" w:beforeAutospacing="1" w:after="100" w:afterAutospacing="1" w:line="240" w:lineRule="auto"/>
      <w:ind w:firstLine="0" w:firstLineChars="0"/>
      <w:jc w:val="left"/>
    </w:pPr>
    <w:rPr>
      <w:rFonts w:ascii="宋体" w:hAnsi="宋体" w:eastAsia="宋体" w:cs="宋体"/>
      <w:kern w:val="0"/>
    </w:rPr>
  </w:style>
  <w:style w:type="table" w:styleId="23">
    <w:name w:val="Table Grid"/>
    <w:basedOn w:val="22"/>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paragraph" w:customStyle="1" w:styleId="27">
    <w:name w:val="一级标题"/>
    <w:basedOn w:val="1"/>
    <w:next w:val="1"/>
    <w:qFormat/>
    <w:uiPriority w:val="0"/>
    <w:pPr>
      <w:numPr>
        <w:ilvl w:val="0"/>
        <w:numId w:val="1"/>
      </w:numPr>
      <w:spacing w:before="120" w:after="120"/>
      <w:ind w:firstLine="0" w:firstLineChars="0"/>
      <w:jc w:val="center"/>
      <w:outlineLvl w:val="1"/>
    </w:pPr>
    <w:rPr>
      <w:b/>
      <w:sz w:val="32"/>
      <w:szCs w:val="22"/>
    </w:rPr>
  </w:style>
  <w:style w:type="paragraph" w:customStyle="1" w:styleId="28">
    <w:name w:val="二级标题"/>
    <w:basedOn w:val="27"/>
    <w:next w:val="1"/>
    <w:qFormat/>
    <w:uiPriority w:val="0"/>
    <w:pPr>
      <w:numPr>
        <w:numId w:val="0"/>
      </w:numPr>
      <w:spacing w:before="0" w:after="0"/>
      <w:outlineLvl w:val="2"/>
    </w:pPr>
    <w:rPr>
      <w:kern w:val="24"/>
      <w:sz w:val="28"/>
      <w:szCs w:val="32"/>
    </w:rPr>
  </w:style>
  <w:style w:type="paragraph" w:customStyle="1" w:styleId="29">
    <w:name w:val="三级标题"/>
    <w:basedOn w:val="1"/>
    <w:next w:val="1"/>
    <w:qFormat/>
    <w:uiPriority w:val="0"/>
    <w:pPr>
      <w:numPr>
        <w:ilvl w:val="0"/>
        <w:numId w:val="2"/>
      </w:numPr>
      <w:ind w:left="0" w:firstLine="200"/>
    </w:pPr>
    <w:rPr>
      <w:kern w:val="24"/>
      <w:szCs w:val="32"/>
    </w:rPr>
  </w:style>
  <w:style w:type="paragraph" w:customStyle="1" w:styleId="30">
    <w:name w:val="列出段落1"/>
    <w:basedOn w:val="1"/>
    <w:qFormat/>
    <w:uiPriority w:val="0"/>
    <w:pPr>
      <w:ind w:firstLine="420"/>
    </w:pPr>
  </w:style>
  <w:style w:type="character" w:customStyle="1" w:styleId="31">
    <w:name w:val="页眉 字符"/>
    <w:basedOn w:val="24"/>
    <w:link w:val="15"/>
    <w:qFormat/>
    <w:uiPriority w:val="99"/>
    <w:rPr>
      <w:kern w:val="2"/>
      <w:sz w:val="18"/>
      <w:szCs w:val="18"/>
    </w:rPr>
  </w:style>
  <w:style w:type="character" w:customStyle="1" w:styleId="32">
    <w:name w:val="页脚 字符"/>
    <w:basedOn w:val="24"/>
    <w:link w:val="14"/>
    <w:qFormat/>
    <w:uiPriority w:val="0"/>
    <w:rPr>
      <w:kern w:val="2"/>
      <w:sz w:val="18"/>
      <w:szCs w:val="18"/>
    </w:rPr>
  </w:style>
  <w:style w:type="character" w:customStyle="1" w:styleId="33">
    <w:name w:val="批注文字 字符"/>
    <w:basedOn w:val="24"/>
    <w:link w:val="9"/>
    <w:qFormat/>
    <w:uiPriority w:val="99"/>
    <w:rPr>
      <w:szCs w:val="24"/>
    </w:rPr>
  </w:style>
  <w:style w:type="character" w:customStyle="1" w:styleId="34">
    <w:name w:val="批注文字 Char1"/>
    <w:basedOn w:val="24"/>
    <w:qFormat/>
    <w:uiPriority w:val="0"/>
    <w:rPr>
      <w:rFonts w:eastAsiaTheme="minorEastAsia"/>
      <w:kern w:val="2"/>
      <w:sz w:val="24"/>
      <w:szCs w:val="24"/>
    </w:rPr>
  </w:style>
  <w:style w:type="character" w:customStyle="1" w:styleId="35">
    <w:name w:val="标题 2 字符"/>
    <w:basedOn w:val="24"/>
    <w:link w:val="3"/>
    <w:qFormat/>
    <w:uiPriority w:val="9"/>
    <w:rPr>
      <w:rFonts w:asciiTheme="majorHAnsi" w:hAnsiTheme="majorHAnsi" w:eastAsiaTheme="majorEastAsia" w:cstheme="majorBidi"/>
      <w:b/>
      <w:bCs/>
      <w:kern w:val="2"/>
      <w:sz w:val="32"/>
      <w:szCs w:val="32"/>
    </w:rPr>
  </w:style>
  <w:style w:type="paragraph" w:customStyle="1" w:styleId="36">
    <w:name w:val="二级标题（制度）"/>
    <w:basedOn w:val="2"/>
    <w:qFormat/>
    <w:uiPriority w:val="0"/>
    <w:pPr>
      <w:keepNext w:val="0"/>
      <w:keepLines w:val="0"/>
      <w:widowControl w:val="0"/>
      <w:autoSpaceDE w:val="0"/>
      <w:autoSpaceDN w:val="0"/>
      <w:spacing w:before="120" w:after="120" w:line="360" w:lineRule="auto"/>
      <w:outlineLvl w:val="1"/>
    </w:pPr>
    <w:rPr>
      <w:rFonts w:cs="微软雅黑"/>
      <w:kern w:val="2"/>
      <w:sz w:val="32"/>
      <w:szCs w:val="21"/>
      <w:lang w:eastAsia="en-US"/>
    </w:rPr>
  </w:style>
  <w:style w:type="character" w:customStyle="1" w:styleId="37">
    <w:name w:val="标题 1 字符"/>
    <w:basedOn w:val="24"/>
    <w:link w:val="2"/>
    <w:qFormat/>
    <w:uiPriority w:val="0"/>
    <w:rPr>
      <w:rFonts w:eastAsiaTheme="minorEastAsia"/>
      <w:b/>
      <w:bCs/>
      <w:kern w:val="44"/>
      <w:sz w:val="36"/>
      <w:szCs w:val="44"/>
    </w:rPr>
  </w:style>
  <w:style w:type="paragraph" w:customStyle="1" w:styleId="38">
    <w:name w:val="附件格式"/>
    <w:basedOn w:val="1"/>
    <w:qFormat/>
    <w:uiPriority w:val="0"/>
    <w:pPr>
      <w:widowControl w:val="0"/>
      <w:spacing w:line="530" w:lineRule="exact"/>
      <w:ind w:firstLine="880"/>
      <w:jc w:val="center"/>
    </w:pPr>
    <w:rPr>
      <w:b/>
      <w:sz w:val="28"/>
      <w:szCs w:val="44"/>
    </w:rPr>
  </w:style>
  <w:style w:type="table" w:customStyle="1" w:styleId="39">
    <w:name w:val="网格型1"/>
    <w:basedOn w:val="22"/>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标题 3 字符"/>
    <w:basedOn w:val="24"/>
    <w:link w:val="4"/>
    <w:qFormat/>
    <w:uiPriority w:val="0"/>
    <w:rPr>
      <w:rFonts w:eastAsiaTheme="minorEastAsia"/>
      <w:b/>
      <w:bCs/>
      <w:kern w:val="2"/>
      <w:sz w:val="32"/>
      <w:szCs w:val="32"/>
    </w:rPr>
  </w:style>
  <w:style w:type="paragraph" w:customStyle="1" w:styleId="41">
    <w:name w:val="图表标题"/>
    <w:basedOn w:val="27"/>
    <w:qFormat/>
    <w:uiPriority w:val="0"/>
    <w:pPr>
      <w:numPr>
        <w:numId w:val="0"/>
      </w:numPr>
      <w:spacing w:before="0" w:after="0"/>
      <w:outlineLvl w:val="9"/>
    </w:pPr>
    <w:rPr>
      <w:sz w:val="21"/>
    </w:rPr>
  </w:style>
  <w:style w:type="paragraph" w:customStyle="1" w:styleId="42">
    <w:name w:val="表格内容"/>
    <w:basedOn w:val="1"/>
    <w:qFormat/>
    <w:uiPriority w:val="0"/>
    <w:pPr>
      <w:widowControl w:val="0"/>
      <w:adjustRightInd w:val="0"/>
      <w:snapToGrid w:val="0"/>
      <w:spacing w:line="240" w:lineRule="auto"/>
      <w:ind w:firstLine="0" w:firstLineChars="0"/>
      <w:jc w:val="center"/>
    </w:pPr>
    <w:rPr>
      <w:rFonts w:asciiTheme="minorEastAsia" w:hAnsiTheme="minorEastAsia"/>
      <w:sz w:val="21"/>
    </w:rPr>
  </w:style>
  <w:style w:type="paragraph" w:customStyle="1" w:styleId="4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44">
    <w:name w:val="正文1"/>
    <w:qFormat/>
    <w:uiPriority w:val="0"/>
    <w:pPr>
      <w:jc w:val="both"/>
    </w:pPr>
    <w:rPr>
      <w:rFonts w:ascii="Calibri" w:hAnsi="Calibri" w:eastAsia="宋体" w:cs="Calibri"/>
      <w:kern w:val="2"/>
      <w:sz w:val="21"/>
      <w:szCs w:val="21"/>
      <w:lang w:val="en-US" w:eastAsia="zh-CN" w:bidi="ar-SA"/>
    </w:rPr>
  </w:style>
  <w:style w:type="character" w:customStyle="1" w:styleId="45">
    <w:name w:val="fontstyle01"/>
    <w:basedOn w:val="24"/>
    <w:qFormat/>
    <w:uiPriority w:val="0"/>
    <w:rPr>
      <w:rFonts w:ascii="宋体" w:hAnsi="宋体" w:eastAsia="宋体" w:cs="宋体"/>
      <w:color w:val="000000"/>
      <w:sz w:val="24"/>
      <w:szCs w:val="24"/>
    </w:rPr>
  </w:style>
  <w:style w:type="paragraph" w:customStyle="1" w:styleId="46">
    <w:name w:val="List Paragraph"/>
    <w:basedOn w:val="1"/>
    <w:qFormat/>
    <w:uiPriority w:val="34"/>
    <w:pPr>
      <w:widowControl w:val="0"/>
      <w:spacing w:line="240" w:lineRule="auto"/>
      <w:ind w:firstLine="420"/>
    </w:pPr>
    <w:rPr>
      <w:rFonts w:eastAsia="仿宋"/>
      <w:sz w:val="32"/>
    </w:rPr>
  </w:style>
  <w:style w:type="paragraph" w:customStyle="1" w:styleId="47">
    <w:name w:val="P"/>
    <w:basedOn w:val="1"/>
    <w:qFormat/>
    <w:uiPriority w:val="0"/>
    <w:pPr>
      <w:spacing w:line="360" w:lineRule="atLeast"/>
      <w:ind w:firstLine="0" w:firstLineChars="0"/>
      <w:jc w:val="left"/>
    </w:pPr>
    <w:rPr>
      <w:rFonts w:ascii="微软雅黑" w:hAnsi="微软雅黑" w:eastAsia="微软雅黑" w:cs="微软雅黑"/>
      <w:kern w:val="0"/>
    </w:rPr>
  </w:style>
  <w:style w:type="character" w:customStyle="1" w:styleId="48">
    <w:name w:val="批注框文本 字符"/>
    <w:basedOn w:val="24"/>
    <w:link w:val="13"/>
    <w:qFormat/>
    <w:uiPriority w:val="0"/>
    <w:rPr>
      <w:rFonts w:ascii="Times New Roman" w:hAnsi="Times New Roman" w:eastAsiaTheme="minorEastAsia"/>
      <w:kern w:val="2"/>
      <w:sz w:val="18"/>
      <w:szCs w:val="18"/>
    </w:rPr>
  </w:style>
  <w:style w:type="character" w:customStyle="1" w:styleId="49">
    <w:name w:val="文档结构图 字符"/>
    <w:basedOn w:val="24"/>
    <w:link w:val="7"/>
    <w:qFormat/>
    <w:uiPriority w:val="0"/>
    <w:rPr>
      <w:rFonts w:ascii="宋体" w:hAnsi="Times New Roman"/>
      <w:kern w:val="2"/>
      <w:sz w:val="18"/>
      <w:szCs w:val="18"/>
    </w:rPr>
  </w:style>
  <w:style w:type="character" w:customStyle="1" w:styleId="50">
    <w:name w:val="图表文字居左 Char"/>
    <w:link w:val="51"/>
    <w:qFormat/>
    <w:uiPriority w:val="0"/>
    <w:rPr>
      <w:rFonts w:ascii="仿宋_GB2312" w:hAnsi="宋体" w:eastAsia="仿宋_GB2312" w:cs="宋体"/>
      <w:kern w:val="28"/>
      <w:szCs w:val="21"/>
    </w:rPr>
  </w:style>
  <w:style w:type="paragraph" w:customStyle="1" w:styleId="51">
    <w:name w:val="图表文字居左"/>
    <w:basedOn w:val="1"/>
    <w:link w:val="50"/>
    <w:qFormat/>
    <w:uiPriority w:val="0"/>
    <w:pPr>
      <w:widowControl w:val="0"/>
      <w:adjustRightInd w:val="0"/>
      <w:snapToGrid w:val="0"/>
      <w:spacing w:line="240" w:lineRule="auto"/>
      <w:ind w:firstLine="0" w:firstLineChars="0"/>
      <w:jc w:val="left"/>
    </w:pPr>
    <w:rPr>
      <w:rFonts w:ascii="仿宋_GB2312" w:hAnsi="宋体" w:eastAsia="仿宋_GB2312" w:cs="宋体"/>
      <w:kern w:val="28"/>
      <w:sz w:val="20"/>
      <w:szCs w:val="21"/>
    </w:rPr>
  </w:style>
  <w:style w:type="character" w:customStyle="1" w:styleId="52">
    <w:name w:val="图表文字居中 Char Char"/>
    <w:link w:val="53"/>
    <w:qFormat/>
    <w:uiPriority w:val="0"/>
    <w:rPr>
      <w:rFonts w:ascii="仿宋_GB2312" w:hAnsi="宋体" w:eastAsia="仿宋_GB2312" w:cs="宋体"/>
      <w:kern w:val="28"/>
      <w:szCs w:val="21"/>
    </w:rPr>
  </w:style>
  <w:style w:type="paragraph" w:customStyle="1" w:styleId="53">
    <w:name w:val="图表文字居中"/>
    <w:basedOn w:val="1"/>
    <w:link w:val="52"/>
    <w:qFormat/>
    <w:uiPriority w:val="0"/>
    <w:pPr>
      <w:widowControl w:val="0"/>
      <w:adjustRightInd w:val="0"/>
      <w:snapToGrid w:val="0"/>
      <w:spacing w:line="240" w:lineRule="auto"/>
      <w:ind w:firstLine="0" w:firstLineChars="0"/>
      <w:jc w:val="center"/>
    </w:pPr>
    <w:rPr>
      <w:rFonts w:ascii="仿宋_GB2312" w:hAnsi="宋体" w:eastAsia="仿宋_GB2312" w:cs="宋体"/>
      <w:kern w:val="28"/>
      <w:sz w:val="2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6" Type="http://schemas.microsoft.com/office/2011/relationships/people" Target="people.xml"/><Relationship Id="rId35" Type="http://schemas.openxmlformats.org/officeDocument/2006/relationships/fontTable" Target="fontTable.xml"/><Relationship Id="rId34" Type="http://schemas.openxmlformats.org/officeDocument/2006/relationships/customXml" Target="../customXml/item4.xml"/><Relationship Id="rId33" Type="http://schemas.openxmlformats.org/officeDocument/2006/relationships/customXml" Target="../customXml/item3.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4.jpeg"/><Relationship Id="rId28" Type="http://schemas.openxmlformats.org/officeDocument/2006/relationships/image" Target="media/image3.emf"/><Relationship Id="rId27" Type="http://schemas.openxmlformats.org/officeDocument/2006/relationships/oleObject" Target="embeddings/oleObject1.bin"/><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fbf74-fc6a-4f32-bc41-a16b6ef28593}">
  <ds:schemaRefs/>
</ds:datastoreItem>
</file>

<file path=customXml/itemProps3.xml><?xml version="1.0" encoding="utf-8"?>
<ds:datastoreItem xmlns:ds="http://schemas.openxmlformats.org/officeDocument/2006/customXml" ds:itemID="{7079efa8-0d8e-487d-80ef-e5dfcc24fec7}">
  <ds:schemaRefs/>
</ds:datastoreItem>
</file>

<file path=customXml/itemProps4.xml><?xml version="1.0" encoding="utf-8"?>
<ds:datastoreItem xmlns:ds="http://schemas.openxmlformats.org/officeDocument/2006/customXml" ds:itemID="{0D38390B-0B1E-4256-905C-F37B19DB7AED}">
  <ds:schemaRefs/>
</ds:datastoreItem>
</file>

<file path=docProps/app.xml><?xml version="1.0" encoding="utf-8"?>
<Properties xmlns="http://schemas.openxmlformats.org/officeDocument/2006/extended-properties" xmlns:vt="http://schemas.openxmlformats.org/officeDocument/2006/docPropsVTypes">
  <Template>0</Template>
  <Company>CHINA</Company>
  <Pages>126</Pages>
  <Words>67384</Words>
  <Characters>68178</Characters>
  <Lines>533</Lines>
  <Paragraphs>150</Paragraphs>
  <TotalTime>5</TotalTime>
  <ScaleCrop>false</ScaleCrop>
  <LinksUpToDate>false</LinksUpToDate>
  <CharactersWithSpaces>69711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2018-10-01T00:47:00Z</dcterms:created>
  <dc:creator>清1411823921</dc:creator>
  <cp:lastModifiedBy>Administrator</cp:lastModifiedBy>
  <cp:lastPrinted>2018-09-30T13:53:00Z</cp:lastPrinted>
  <dcterms:modified xsi:type="dcterms:W3CDTF">2023-03-02T07:11:58Z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2606C3FC42454B0CB9B07E6A3EC509EE</vt:lpwstr>
  </property>
</Properties>
</file>