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eastAsiaTheme="majorEastAsia" w:cstheme="majorEastAsia"/>
          <w:b/>
          <w:bCs/>
          <w:sz w:val="32"/>
          <w:szCs w:val="32"/>
        </w:rPr>
      </w:pPr>
      <w:bookmarkStart w:id="0" w:name="_Toc419206832"/>
      <w:bookmarkStart w:id="1" w:name="_Toc419206925"/>
      <w:bookmarkStart w:id="2" w:name="_Toc404685617"/>
    </w:p>
    <w:p>
      <w:pPr>
        <w:jc w:val="both"/>
        <w:rPr>
          <w:rFonts w:ascii="Times New Roman" w:hAnsi="Times New Roman"/>
        </w:rPr>
      </w:pPr>
      <w:bookmarkStart w:id="18" w:name="_GoBack"/>
      <w:bookmarkEnd w:id="18"/>
    </w:p>
    <w:p>
      <w:pPr>
        <w:pStyle w:val="2"/>
      </w:pPr>
    </w:p>
    <w:p>
      <w:pPr>
        <w:ind w:firstLine="803"/>
        <w:jc w:val="center"/>
        <w:rPr>
          <w:rFonts w:ascii="Times New Roman" w:hAnsi="Times New Roman"/>
          <w:b/>
          <w:bCs/>
          <w:sz w:val="40"/>
          <w:szCs w:val="48"/>
        </w:rPr>
      </w:pPr>
    </w:p>
    <w:p>
      <w:pPr>
        <w:spacing w:after="130" w:afterLines="40"/>
        <w:ind w:firstLine="0" w:firstLineChars="0"/>
        <w:jc w:val="center"/>
        <w:rPr>
          <w:b/>
          <w:bCs/>
          <w:sz w:val="48"/>
          <w:szCs w:val="48"/>
        </w:rPr>
      </w:pPr>
      <w:r>
        <w:rPr>
          <w:rFonts w:hint="eastAsia" w:ascii="Times New Roman" w:hAnsi="Times New Roman"/>
          <w:b/>
          <w:bCs/>
          <w:sz w:val="48"/>
          <w:szCs w:val="48"/>
        </w:rPr>
        <w:t>台州项目总承包部</w:t>
      </w:r>
      <w:r>
        <w:rPr>
          <w:rFonts w:hint="eastAsia"/>
          <w:b/>
          <w:bCs/>
          <w:sz w:val="48"/>
          <w:szCs w:val="48"/>
          <w:lang w:eastAsia="zh-CN"/>
        </w:rPr>
        <w:t>节点目标考核管理</w:t>
      </w:r>
      <w:r>
        <w:rPr>
          <w:rFonts w:hint="eastAsia"/>
          <w:b/>
          <w:bCs/>
          <w:sz w:val="48"/>
          <w:szCs w:val="48"/>
        </w:rPr>
        <w:t>办法</w:t>
      </w:r>
    </w:p>
    <w:p>
      <w:pPr>
        <w:ind w:left="0" w:leftChars="0" w:firstLine="0" w:firstLineChars="0"/>
        <w:rPr>
          <w:rFonts w:ascii="Times New Roman" w:hAnsi="Times New Roman"/>
          <w:b/>
          <w:bCs/>
          <w:sz w:val="40"/>
          <w:szCs w:val="48"/>
        </w:rPr>
      </w:pPr>
    </w:p>
    <w:p>
      <w:pPr>
        <w:ind w:firstLine="600"/>
        <w:jc w:val="center"/>
        <w:rPr>
          <w:rFonts w:hint="eastAsia" w:ascii="Times New Roman" w:hAnsi="Times New Roman" w:eastAsiaTheme="majorEastAsia" w:cstheme="majorEastAsia"/>
          <w:bCs/>
          <w:sz w:val="30"/>
          <w:szCs w:val="30"/>
        </w:rPr>
      </w:pPr>
      <w:r>
        <w:rPr>
          <w:rFonts w:hint="eastAsia" w:ascii="Times New Roman" w:hAnsi="Times New Roman" w:eastAsiaTheme="majorEastAsia" w:cstheme="majorEastAsia"/>
          <w:bCs/>
          <w:sz w:val="30"/>
          <w:szCs w:val="30"/>
        </w:rPr>
        <w:drawing>
          <wp:inline distT="0" distB="0" distL="0" distR="0">
            <wp:extent cx="5274310" cy="1790700"/>
            <wp:effectExtent l="0" t="0" r="2540" b="0"/>
            <wp:docPr id="2" name="图片 2" descr="封面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封面图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 w:hAnsi="Times New Roman" w:eastAsiaTheme="majorEastAsia" w:cstheme="majorEastAsia"/>
          <w:bCs/>
          <w:sz w:val="30"/>
          <w:szCs w:val="30"/>
        </w:rPr>
      </w:pPr>
    </w:p>
    <w:p>
      <w:pPr>
        <w:pStyle w:val="2"/>
        <w:rPr>
          <w:rFonts w:hint="eastAsia" w:ascii="Times New Roman" w:hAnsi="Times New Roman" w:eastAsiaTheme="majorEastAsia" w:cstheme="majorEastAsia"/>
          <w:bCs/>
          <w:sz w:val="30"/>
          <w:szCs w:val="30"/>
        </w:rPr>
      </w:pPr>
    </w:p>
    <w:tbl>
      <w:tblPr>
        <w:tblStyle w:val="17"/>
        <w:tblW w:w="7841" w:type="dxa"/>
        <w:jc w:val="center"/>
        <w:tblInd w:w="1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14"/>
        <w:gridCol w:w="1175"/>
        <w:gridCol w:w="1250"/>
        <w:gridCol w:w="1187"/>
        <w:gridCol w:w="160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br w:type="page"/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版本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制度级别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编制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审核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审批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V1.0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项目二级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王振赛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梁瑞龙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朱春柏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2019.0</w:t>
            </w: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cs="Times New Roman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08</w:t>
            </w: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eastAsiaTheme="majorEastAsia" w:cstheme="majorEastAsia"/>
          <w:bCs/>
          <w:sz w:val="32"/>
          <w:szCs w:val="32"/>
        </w:rPr>
      </w:pPr>
    </w:p>
    <w:p>
      <w:pPr>
        <w:pStyle w:val="2"/>
      </w:pPr>
    </w:p>
    <w:p>
      <w:pPr>
        <w:ind w:firstLine="0" w:firstLineChars="0"/>
        <w:jc w:val="center"/>
        <w:rPr>
          <w:rFonts w:ascii="Times New Roman" w:hAnsi="Times New Roman" w:eastAsiaTheme="majorEastAsia" w:cstheme="majorEastAsia"/>
          <w:bCs/>
          <w:sz w:val="32"/>
          <w:szCs w:val="32"/>
        </w:rPr>
      </w:pP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苏州中车建设工程有限公司</w:t>
      </w:r>
    </w:p>
    <w:p>
      <w:pPr>
        <w:ind w:firstLine="0" w:firstLineChars="0"/>
        <w:jc w:val="center"/>
        <w:rPr>
          <w:rFonts w:ascii="Times New Roman" w:hAnsi="Times New Roman" w:eastAsiaTheme="majorEastAsia" w:cstheme="majorEastAsia"/>
          <w:bCs/>
          <w:sz w:val="32"/>
          <w:szCs w:val="32"/>
        </w:rPr>
      </w:pP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台州市域铁路</w:t>
      </w:r>
      <w:r>
        <w:rPr>
          <w:rFonts w:hint="eastAsia" w:ascii="Times New Roman" w:hAnsi="Times New Roman" w:eastAsiaTheme="majorEastAsia" w:cstheme="majorEastAsia"/>
          <w:bCs/>
          <w:sz w:val="32"/>
          <w:szCs w:val="32"/>
        </w:rPr>
        <w:t>S1</w:t>
      </w: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线一期</w:t>
      </w:r>
      <w:r>
        <w:rPr>
          <w:rFonts w:hint="eastAsia" w:ascii="Times New Roman" w:hAnsi="Times New Roman" w:eastAsiaTheme="majorEastAsia" w:cstheme="majorEastAsia"/>
          <w:bCs/>
          <w:sz w:val="32"/>
          <w:szCs w:val="32"/>
        </w:rPr>
        <w:t>PPP</w:t>
      </w: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项目工程总承包项目部</w:t>
      </w:r>
    </w:p>
    <w:p>
      <w:pPr>
        <w:ind w:firstLine="0" w:firstLineChars="0"/>
        <w:jc w:val="center"/>
        <w:rPr>
          <w:rFonts w:ascii="Times New Roman" w:hAnsi="Times New Roman" w:eastAsiaTheme="majorEastAsia" w:cstheme="majorEastAsia"/>
          <w:bCs/>
          <w:sz w:val="32"/>
          <w:szCs w:val="32"/>
        </w:rPr>
      </w:pPr>
      <w:r>
        <w:rPr>
          <w:rFonts w:hint="eastAsia" w:hAnsiTheme="majorEastAsia" w:eastAsiaTheme="majorEastAsia" w:cstheme="majorEastAsia"/>
          <w:bCs/>
          <w:sz w:val="32"/>
          <w:szCs w:val="32"/>
        </w:rPr>
        <w:t>二零一九</w:t>
      </w:r>
      <w:r>
        <w:rPr>
          <w:rFonts w:hint="eastAsia" w:ascii="Times New Roman" w:hAnsiTheme="majorEastAsia" w:eastAsiaTheme="majorEastAsia" w:cstheme="majorEastAsia"/>
          <w:bCs/>
          <w:sz w:val="32"/>
          <w:szCs w:val="32"/>
        </w:rPr>
        <w:t>年</w:t>
      </w:r>
      <w:r>
        <w:rPr>
          <w:rFonts w:hint="eastAsia" w:hAnsiTheme="majorEastAsia" w:eastAsiaTheme="majorEastAsia" w:cstheme="majorEastAsia"/>
          <w:bCs/>
          <w:sz w:val="32"/>
          <w:szCs w:val="32"/>
          <w:lang w:eastAsia="zh-CN"/>
        </w:rPr>
        <w:t>三</w:t>
      </w:r>
      <w:r>
        <w:rPr>
          <w:rFonts w:hint="eastAsia" w:hAnsiTheme="majorEastAsia" w:eastAsiaTheme="majorEastAsia" w:cstheme="majorEastAsia"/>
          <w:bCs/>
          <w:sz w:val="32"/>
          <w:szCs w:val="32"/>
        </w:rPr>
        <w:t>月</w:t>
      </w:r>
      <w:r>
        <w:rPr>
          <w:rFonts w:hint="eastAsia" w:hAnsiTheme="majorEastAsia" w:eastAsiaTheme="majorEastAsia" w:cstheme="majorEastAsia"/>
          <w:bCs/>
          <w:sz w:val="32"/>
          <w:szCs w:val="32"/>
          <w:lang w:eastAsia="zh-CN"/>
        </w:rPr>
        <w:t>八</w:t>
      </w:r>
      <w:r>
        <w:rPr>
          <w:rFonts w:hint="eastAsia" w:hAnsiTheme="majorEastAsia" w:eastAsiaTheme="majorEastAsia" w:cstheme="majorEastAsia"/>
          <w:bCs/>
          <w:sz w:val="32"/>
          <w:szCs w:val="32"/>
        </w:rPr>
        <w:t>日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1440" w:right="1797" w:bottom="1440" w:left="1797" w:header="851" w:footer="850" w:gutter="0"/>
          <w:cols w:space="425" w:num="1"/>
          <w:docGrid w:type="linesAndChars" w:linePitch="326" w:charSpace="0"/>
        </w:sectPr>
      </w:pPr>
    </w:p>
    <w:bookmarkEnd w:id="0"/>
    <w:bookmarkEnd w:id="1"/>
    <w:p>
      <w:pPr>
        <w:jc w:val="center"/>
        <w:rPr>
          <w:rFonts w:ascii="宋体" w:hAnsi="宋体"/>
          <w:color w:val="000000" w:themeColor="text1"/>
          <w:szCs w:val="24"/>
          <w:lang w:val="zh-CN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宋体" w:hAnsi="宋体" w:cs="宋体"/>
          <w:b/>
          <w:bCs/>
          <w:caps/>
          <w:color w:val="auto"/>
          <w:sz w:val="32"/>
          <w:szCs w:val="32"/>
          <w:u w:val="none"/>
        </w:rPr>
        <w:t>目 录</w:t>
      </w:r>
      <w:r>
        <w:rPr>
          <w:rStyle w:val="14"/>
          <w:rFonts w:asciiTheme="minorHAnsi" w:hAnsiTheme="minorHAnsi" w:eastAsiaTheme="minorEastAsia" w:cstheme="minorBidi"/>
          <w:caps/>
          <w:color w:val="auto"/>
          <w:sz w:val="28"/>
          <w:szCs w:val="28"/>
          <w:u w:val="none"/>
        </w:rPr>
        <w:fldChar w:fldCharType="begin"/>
      </w:r>
      <w:r>
        <w:rPr>
          <w:rStyle w:val="14"/>
          <w:rFonts w:asciiTheme="minorHAnsi" w:hAnsiTheme="minorHAnsi" w:eastAsiaTheme="minorEastAsia" w:cstheme="minorBidi"/>
          <w:caps/>
          <w:color w:val="auto"/>
          <w:sz w:val="28"/>
          <w:szCs w:val="28"/>
          <w:u w:val="none"/>
        </w:rPr>
        <w:instrText xml:space="preserve"> TOC \o "1-3" \h \z \u </w:instrText>
      </w:r>
      <w:r>
        <w:rPr>
          <w:rStyle w:val="14"/>
          <w:rFonts w:asciiTheme="minorHAnsi" w:hAnsiTheme="minorHAnsi" w:eastAsiaTheme="minorEastAsia" w:cstheme="minorBidi"/>
          <w:caps/>
          <w:color w:val="auto"/>
          <w:sz w:val="28"/>
          <w:szCs w:val="28"/>
          <w:u w:val="none"/>
        </w:rPr>
        <w:fldChar w:fldCharType="separate"/>
      </w:r>
    </w:p>
    <w:p>
      <w:pPr>
        <w:pStyle w:val="10"/>
        <w:tabs>
          <w:tab w:val="right" w:leader="dot" w:pos="8312"/>
          <w:tab w:val="clear" w:pos="8080"/>
        </w:tabs>
        <w:rPr>
          <w:b w:val="0"/>
        </w:rPr>
      </w:pPr>
      <w:r>
        <w:fldChar w:fldCharType="begin"/>
      </w:r>
      <w:r>
        <w:instrText xml:space="preserve"> HYPERLINK \l "_Toc15303" </w:instrText>
      </w:r>
      <w:r>
        <w:fldChar w:fldCharType="separate"/>
      </w:r>
      <w:r>
        <w:rPr>
          <w:rFonts w:hint="eastAsia"/>
          <w:b w:val="0"/>
        </w:rPr>
        <w:t>第一章 总则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_Toc15303 </w:instrText>
      </w:r>
      <w:r>
        <w:rPr>
          <w:b w:val="0"/>
        </w:rPr>
        <w:fldChar w:fldCharType="separate"/>
      </w:r>
      <w:r>
        <w:rPr>
          <w:b w:val="0"/>
        </w:rPr>
        <w:t>1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0"/>
        <w:tabs>
          <w:tab w:val="right" w:leader="dot" w:pos="8312"/>
          <w:tab w:val="clear" w:pos="8080"/>
        </w:tabs>
        <w:rPr>
          <w:b w:val="0"/>
        </w:rPr>
      </w:pPr>
      <w:r>
        <w:fldChar w:fldCharType="begin"/>
      </w:r>
      <w:r>
        <w:instrText xml:space="preserve"> HYPERLINK \l "_Toc17082" </w:instrText>
      </w:r>
      <w:r>
        <w:fldChar w:fldCharType="separate"/>
      </w:r>
      <w:r>
        <w:rPr>
          <w:rFonts w:hint="eastAsia"/>
          <w:b w:val="0"/>
        </w:rPr>
        <w:t>第二章 定义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_Toc17082 </w:instrText>
      </w:r>
      <w:r>
        <w:rPr>
          <w:b w:val="0"/>
        </w:rPr>
        <w:fldChar w:fldCharType="separate"/>
      </w:r>
      <w:r>
        <w:rPr>
          <w:b w:val="0"/>
        </w:rPr>
        <w:t>1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0"/>
        <w:tabs>
          <w:tab w:val="right" w:leader="dot" w:pos="8312"/>
          <w:tab w:val="clear" w:pos="8080"/>
        </w:tabs>
        <w:rPr>
          <w:b w:val="0"/>
        </w:rPr>
      </w:pPr>
      <w:r>
        <w:fldChar w:fldCharType="begin"/>
      </w:r>
      <w:r>
        <w:instrText xml:space="preserve"> HYPERLINK \l "_Toc8683" </w:instrText>
      </w:r>
      <w:r>
        <w:fldChar w:fldCharType="separate"/>
      </w:r>
      <w:r>
        <w:rPr>
          <w:rFonts w:hint="eastAsia"/>
          <w:b w:val="0"/>
        </w:rPr>
        <w:t>第三章 考核实施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_Toc8683 </w:instrText>
      </w:r>
      <w:r>
        <w:rPr>
          <w:b w:val="0"/>
        </w:rPr>
        <w:fldChar w:fldCharType="separate"/>
      </w:r>
      <w:r>
        <w:rPr>
          <w:b w:val="0"/>
        </w:rPr>
        <w:t>1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0"/>
        <w:tabs>
          <w:tab w:val="right" w:leader="dot" w:pos="8312"/>
          <w:tab w:val="clear" w:pos="8080"/>
        </w:tabs>
        <w:rPr>
          <w:b w:val="0"/>
        </w:rPr>
      </w:pPr>
      <w:r>
        <w:fldChar w:fldCharType="begin"/>
      </w:r>
      <w:r>
        <w:instrText xml:space="preserve"> HYPERLINK \l "_Toc23910" </w:instrText>
      </w:r>
      <w:r>
        <w:fldChar w:fldCharType="separate"/>
      </w:r>
      <w:r>
        <w:rPr>
          <w:rFonts w:hint="eastAsia"/>
          <w:b w:val="0"/>
        </w:rPr>
        <w:t>第四章</w:t>
      </w:r>
      <w:r>
        <w:rPr>
          <w:b w:val="0"/>
        </w:rPr>
        <w:t xml:space="preserve"> </w:t>
      </w:r>
      <w:r>
        <w:rPr>
          <w:rFonts w:hint="eastAsia"/>
          <w:b w:val="0"/>
        </w:rPr>
        <w:t>附则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_Toc23910 </w:instrText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  <w:r>
        <w:rPr>
          <w:b w:val="0"/>
        </w:rPr>
        <w:fldChar w:fldCharType="end"/>
      </w:r>
    </w:p>
    <w:p>
      <w:pPr>
        <w:pStyle w:val="10"/>
        <w:tabs>
          <w:tab w:val="right" w:leader="dot" w:pos="8222"/>
          <w:tab w:val="clear" w:pos="8080"/>
        </w:tabs>
        <w:adjustRightInd/>
        <w:snapToGrid/>
        <w:ind w:left="0" w:leftChars="0" w:right="0" w:rightChars="0"/>
        <w:jc w:val="center"/>
        <w:rPr>
          <w:rFonts w:ascii="宋体" w:hAnsi="宋体"/>
          <w:bCs/>
          <w:color w:val="000000" w:themeColor="text1"/>
          <w:szCs w:val="24"/>
          <w:lang w:val="zh-CN"/>
          <w14:textFill>
            <w14:solidFill>
              <w14:schemeClr w14:val="tx1"/>
            </w14:solidFill>
          </w14:textFill>
        </w:rPr>
        <w:sectPr>
          <w:headerReference r:id="rId4" w:type="default"/>
          <w:footerReference r:id="rId5" w:type="default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r>
        <w:rPr>
          <w:rFonts w:ascii="宋体" w:hAnsi="宋体"/>
          <w:b w:val="0"/>
          <w:color w:val="000000" w:themeColor="text1"/>
          <w:szCs w:val="24"/>
          <w:lang w:val="zh-CN"/>
          <w14:textFill>
            <w14:solidFill>
              <w14:schemeClr w14:val="tx1"/>
            </w14:solidFill>
          </w14:textFill>
        </w:rPr>
        <w:fldChar w:fldCharType="end"/>
      </w:r>
    </w:p>
    <w:bookmarkEnd w:id="2"/>
    <w:p>
      <w:pPr>
        <w:pStyle w:val="3"/>
      </w:pPr>
      <w:bookmarkStart w:id="3" w:name="_Toc421717494"/>
      <w:bookmarkStart w:id="4" w:name="_Toc421534907"/>
      <w:bookmarkStart w:id="5" w:name="_Toc15303"/>
      <w:r>
        <w:rPr>
          <w:rFonts w:hint="eastAsia"/>
        </w:rPr>
        <w:t>第一章 总则</w:t>
      </w:r>
      <w:bookmarkEnd w:id="3"/>
      <w:bookmarkEnd w:id="4"/>
      <w:bookmarkEnd w:id="5"/>
    </w:p>
    <w:p>
      <w:pPr>
        <w:adjustRightInd w:val="0"/>
        <w:snapToGrid w:val="0"/>
        <w:ind w:firstLine="542" w:firstLineChars="200"/>
        <w:jc w:val="left"/>
        <w:rPr>
          <w:rFonts w:ascii="宋体" w:hAnsi="宋体" w:cs="宋体"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第一条 </w:t>
      </w:r>
      <w:r>
        <w:rPr>
          <w:rFonts w:hint="eastAsia" w:ascii="宋体" w:hAnsi="宋体" w:cs="宋体"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为了科学有序推进台州市域铁路S1线一期PPP项目工程总包部（以下简称“总包部”）各项工作，确保各年度总体目标和里程碑工期目标的顺利实现，根据《总包部进度管理办法》的相关要求，特制定本办法。</w:t>
      </w:r>
    </w:p>
    <w:p>
      <w:pPr>
        <w:pStyle w:val="19"/>
        <w:widowControl/>
        <w:adjustRightInd w:val="0"/>
        <w:snapToGrid w:val="0"/>
        <w:ind w:firstLine="542"/>
        <w:rPr>
          <w:rFonts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第二条 </w:t>
      </w:r>
      <w:r>
        <w:rPr>
          <w:rFonts w:hint="eastAsia"/>
          <w:szCs w:val="24"/>
        </w:rPr>
        <w:t>考核要素</w:t>
      </w:r>
    </w:p>
    <w:p>
      <w:pPr>
        <w:pStyle w:val="24"/>
        <w:spacing w:line="360" w:lineRule="auto"/>
        <w:ind w:firstLine="480" w:firstLineChars="200"/>
        <w:jc w:val="both"/>
        <w:rPr>
          <w:rFonts w:ascii="Times New Roman" w:hAnsi="Times New Roman" w:eastAsia="宋体" w:cs="Times New Roman"/>
          <w:color w:val="auto"/>
        </w:rPr>
      </w:pPr>
      <w:r>
        <w:rPr>
          <w:rFonts w:hint="eastAsia" w:ascii="Times New Roman" w:hAnsi="Times New Roman" w:eastAsia="宋体" w:cs="Times New Roman"/>
          <w:color w:val="auto"/>
        </w:rPr>
        <w:t>节点计划：一、二、三级节点计划。</w:t>
      </w:r>
    </w:p>
    <w:p>
      <w:pPr>
        <w:autoSpaceDE w:val="0"/>
        <w:autoSpaceDN w:val="0"/>
        <w:adjustRightInd w:val="0"/>
        <w:snapToGrid w:val="0"/>
        <w:ind w:firstLine="566" w:firstLineChars="209"/>
        <w:jc w:val="left"/>
        <w:rPr>
          <w:rFonts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适用范围</w:t>
      </w:r>
    </w:p>
    <w:p>
      <w:pPr>
        <w:autoSpaceDE w:val="0"/>
        <w:autoSpaceDN w:val="0"/>
        <w:adjustRightInd w:val="0"/>
        <w:snapToGrid w:val="0"/>
        <w:ind w:firstLine="564" w:firstLineChars="209"/>
        <w:jc w:val="left"/>
        <w:rPr>
          <w:rFonts w:ascii="宋体" w:hAnsi="宋体" w:cs="宋体"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本办法适用于台州项目总包部各工区。</w:t>
      </w:r>
    </w:p>
    <w:p>
      <w:pPr>
        <w:pStyle w:val="3"/>
      </w:pPr>
      <w:bookmarkStart w:id="6" w:name="_Toc421534908"/>
      <w:bookmarkStart w:id="7" w:name="_Toc421717495"/>
      <w:bookmarkStart w:id="8" w:name="_Toc404685618"/>
      <w:bookmarkStart w:id="9" w:name="_Toc17082"/>
      <w:r>
        <w:rPr>
          <w:rFonts w:hint="eastAsia"/>
        </w:rPr>
        <w:t xml:space="preserve">第二章 </w:t>
      </w:r>
      <w:bookmarkEnd w:id="6"/>
      <w:bookmarkEnd w:id="7"/>
      <w:bookmarkEnd w:id="8"/>
      <w:r>
        <w:rPr>
          <w:rFonts w:hint="eastAsia"/>
        </w:rPr>
        <w:t>定义</w:t>
      </w:r>
      <w:bookmarkEnd w:id="9"/>
    </w:p>
    <w:p>
      <w:pPr>
        <w:pStyle w:val="19"/>
        <w:widowControl/>
        <w:adjustRightInd w:val="0"/>
        <w:snapToGrid w:val="0"/>
        <w:ind w:firstLine="542"/>
      </w:pP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第四条 </w:t>
      </w:r>
      <w:r>
        <w:rPr>
          <w:rFonts w:hint="eastAsia"/>
          <w:szCs w:val="24"/>
        </w:rPr>
        <w:t>节点定义</w:t>
      </w:r>
    </w:p>
    <w:p>
      <w:pPr>
        <w:pStyle w:val="19"/>
      </w:pPr>
      <w:r>
        <w:rPr>
          <w:rFonts w:hint="eastAsia"/>
        </w:rPr>
        <w:t>一级节点：是指对全线里程碑工期有重大影响的工期节点。</w:t>
      </w:r>
    </w:p>
    <w:p>
      <w:pPr>
        <w:pStyle w:val="19"/>
      </w:pPr>
      <w:r>
        <w:rPr>
          <w:rFonts w:hint="eastAsia"/>
        </w:rPr>
        <w:t>二级节点：是指工区单位（子单位）工程完成的节点。</w:t>
      </w:r>
    </w:p>
    <w:p>
      <w:pPr>
        <w:pStyle w:val="19"/>
      </w:pPr>
      <w:r>
        <w:rPr>
          <w:rFonts w:hint="eastAsia"/>
        </w:rPr>
        <w:t>三级节点：除去一二级节点工区列出的其余工期节点。</w:t>
      </w:r>
    </w:p>
    <w:p>
      <w:pPr>
        <w:pStyle w:val="3"/>
      </w:pPr>
      <w:bookmarkStart w:id="10" w:name="_Toc421534909"/>
      <w:bookmarkStart w:id="11" w:name="_Toc421717496"/>
      <w:bookmarkStart w:id="12" w:name="_Toc8683"/>
      <w:r>
        <w:rPr>
          <w:rFonts w:hint="eastAsia"/>
        </w:rPr>
        <w:t xml:space="preserve">第三章 </w:t>
      </w:r>
      <w:bookmarkEnd w:id="10"/>
      <w:bookmarkEnd w:id="11"/>
      <w:r>
        <w:rPr>
          <w:rFonts w:hint="eastAsia"/>
        </w:rPr>
        <w:t>考核实施</w:t>
      </w:r>
      <w:bookmarkEnd w:id="12"/>
    </w:p>
    <w:p>
      <w:pPr>
        <w:pStyle w:val="19"/>
        <w:widowControl/>
        <w:adjustRightInd w:val="0"/>
        <w:snapToGrid w:val="0"/>
        <w:ind w:firstLine="542"/>
        <w:rPr>
          <w:szCs w:val="24"/>
        </w:rPr>
      </w:pP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第五条 </w:t>
      </w:r>
      <w:r>
        <w:rPr>
          <w:rFonts w:hint="eastAsia"/>
          <w:szCs w:val="24"/>
        </w:rPr>
        <w:t>考核机构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总包部成立工程节点目标考核领导小组。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组  长： 总包部项目经理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副组长： 总包部副经理、总工程师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成  员：分部经理、总包部相关部门负责人</w:t>
      </w:r>
    </w:p>
    <w:p>
      <w:pPr>
        <w:pStyle w:val="19"/>
        <w:widowControl/>
        <w:adjustRightInd w:val="0"/>
        <w:snapToGrid w:val="0"/>
        <w:ind w:firstLine="542"/>
        <w:rPr>
          <w:szCs w:val="24"/>
        </w:rPr>
      </w:pP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第六条 </w:t>
      </w:r>
      <w:r>
        <w:rPr>
          <w:rFonts w:hint="eastAsia"/>
          <w:szCs w:val="24"/>
        </w:rPr>
        <w:t>考核原则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考核领导小组在考核过程中须秉持公平、公正、严肃、认真的工作原则，严格按照节点标准进行检查考核。</w:t>
      </w:r>
    </w:p>
    <w:p>
      <w:pPr>
        <w:pStyle w:val="19"/>
        <w:widowControl/>
        <w:adjustRightInd w:val="0"/>
        <w:snapToGrid w:val="0"/>
        <w:ind w:firstLine="542"/>
        <w:rPr>
          <w:highlight w:val="yellow"/>
        </w:rPr>
      </w:pP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第七条 </w:t>
      </w:r>
      <w:r>
        <w:rPr>
          <w:rFonts w:hint="eastAsia"/>
          <w:szCs w:val="24"/>
        </w:rPr>
        <w:t>考核办法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（一）节点目标的确定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一、二、三级节点目标由总包部制定下发。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（二）考核方法</w:t>
      </w:r>
    </w:p>
    <w:p>
      <w:pPr>
        <w:pStyle w:val="19"/>
        <w:widowControl/>
        <w:adjustRightInd w:val="0"/>
        <w:snapToGrid w:val="0"/>
        <w:rPr>
          <w:highlight w:val="yellow"/>
        </w:rPr>
      </w:pPr>
      <w:r>
        <w:rPr>
          <w:rFonts w:hint="eastAsia"/>
        </w:rPr>
        <w:t>节点目标的考核实行“现场验收确认，季度考核兑现”。其中：一、二、三级节点目标执行本考核办法；过程中针对特定项目可制定专项节点目标进行专项考核，专项节点完成情况纳入劳动竞赛考核评比。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（三）检查验收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节点目标完成后由工区向总包部提交书面的验收申请，总包部对成情况进行验收，具体格式见附表1。</w:t>
      </w:r>
    </w:p>
    <w:p>
      <w:pPr>
        <w:pStyle w:val="19"/>
        <w:widowControl/>
        <w:adjustRightInd w:val="0"/>
        <w:snapToGrid w:val="0"/>
        <w:ind w:firstLine="482"/>
      </w:pPr>
      <w:r>
        <w:rPr>
          <w:rFonts w:hint="eastAsia"/>
          <w:b/>
          <w:bCs/>
        </w:rPr>
        <w:t>第八条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处罚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（一）节点目标</w:t>
      </w:r>
      <w:r>
        <w:rPr>
          <w:rFonts w:hint="eastAsia"/>
          <w:lang w:val="en-US" w:eastAsia="zh-CN"/>
        </w:rPr>
        <w:t>处</w:t>
      </w:r>
      <w:r>
        <w:rPr>
          <w:rFonts w:hint="eastAsia"/>
        </w:rPr>
        <w:t>罚标准</w:t>
      </w:r>
    </w:p>
    <w:p>
      <w:pPr>
        <w:pStyle w:val="19"/>
        <w:widowControl/>
        <w:adjustRightInd w:val="0"/>
        <w:snapToGrid w:val="0"/>
      </w:pPr>
      <w:r>
        <w:rPr>
          <w:rFonts w:hint="eastAsia"/>
        </w:rPr>
        <w:t>经总包部考核领导小组考核确认，具体</w:t>
      </w:r>
      <w:r>
        <w:rPr>
          <w:rFonts w:hint="eastAsia"/>
          <w:lang w:val="en-US" w:eastAsia="zh-CN"/>
        </w:rPr>
        <w:t>处</w:t>
      </w:r>
      <w:r>
        <w:rPr>
          <w:rFonts w:hint="eastAsia"/>
        </w:rPr>
        <w:t>罚标准见表1。</w:t>
      </w:r>
    </w:p>
    <w:p>
      <w:pPr>
        <w:pStyle w:val="19"/>
        <w:widowControl/>
        <w:adjustRightInd w:val="0"/>
        <w:snapToGrid w:val="0"/>
        <w:spacing w:line="240" w:lineRule="auto"/>
        <w:ind w:firstLine="0" w:firstLineChars="0"/>
        <w:jc w:val="center"/>
      </w:pPr>
      <w:r>
        <w:rPr>
          <w:rFonts w:hint="eastAsia"/>
        </w:rPr>
        <w:t>表1 节点目标</w:t>
      </w:r>
      <w:r>
        <w:rPr>
          <w:rFonts w:hint="eastAsia"/>
          <w:lang w:val="en-US" w:eastAsia="zh-CN"/>
        </w:rPr>
        <w:t>处</w:t>
      </w:r>
      <w:r>
        <w:rPr>
          <w:rFonts w:hint="eastAsia"/>
        </w:rPr>
        <w:t>罚标准表</w:t>
      </w:r>
    </w:p>
    <w:tbl>
      <w:tblPr>
        <w:tblStyle w:val="16"/>
        <w:tblW w:w="9517" w:type="dxa"/>
        <w:jc w:val="center"/>
        <w:tblInd w:w="-107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8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182" w:type="dxa"/>
            <w:vMerge w:val="restart"/>
            <w:vAlign w:val="center"/>
          </w:tcPr>
          <w:p>
            <w:pPr>
              <w:pStyle w:val="3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节点目标</w:t>
            </w:r>
          </w:p>
        </w:tc>
        <w:tc>
          <w:tcPr>
            <w:tcW w:w="83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处罚金额标准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2" w:type="dxa"/>
            <w:vMerge w:val="continue"/>
            <w:vAlign w:val="center"/>
          </w:tcPr>
          <w:p>
            <w:pPr>
              <w:pStyle w:val="3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3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182" w:type="dxa"/>
            <w:vAlign w:val="center"/>
          </w:tcPr>
          <w:p>
            <w:pPr>
              <w:pStyle w:val="3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一级节点</w:t>
            </w:r>
          </w:p>
        </w:tc>
        <w:tc>
          <w:tcPr>
            <w:tcW w:w="8335" w:type="dxa"/>
            <w:vAlign w:val="center"/>
          </w:tcPr>
          <w:p>
            <w:pPr>
              <w:pStyle w:val="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未按期完成，罚50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~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  <w:szCs w:val="24"/>
              </w:rPr>
              <w:t>万元，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要求集团公司分管生产的领导带队成立工作组。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exact"/>
          <w:jc w:val="center"/>
        </w:trPr>
        <w:tc>
          <w:tcPr>
            <w:tcW w:w="1182" w:type="dxa"/>
            <w:vAlign w:val="center"/>
          </w:tcPr>
          <w:p>
            <w:pPr>
              <w:pStyle w:val="3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二级节点</w:t>
            </w:r>
          </w:p>
        </w:tc>
        <w:tc>
          <w:tcPr>
            <w:tcW w:w="8335" w:type="dxa"/>
            <w:vAlign w:val="center"/>
          </w:tcPr>
          <w:p>
            <w:pPr>
              <w:pStyle w:val="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第1次未按期完成，罚20万元，视严重情况决定是否发函至分包单位所在上级单位；</w:t>
            </w:r>
          </w:p>
          <w:p>
            <w:pPr>
              <w:pStyle w:val="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2.工期调整后仍未完成，</w:t>
            </w:r>
            <w:r>
              <w:rPr>
                <w:rFonts w:hint="eastAsia" w:ascii="宋体" w:hAnsi="宋体"/>
                <w:sz w:val="24"/>
                <w:szCs w:val="24"/>
              </w:rPr>
              <w:t>罚50万元，发函至分包单位所在上级单位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</w:rPr>
              <w:t>要求公司派驻工作组，由公司主管领导或集团领导带队，至工期被认可为止。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182" w:type="dxa"/>
            <w:vAlign w:val="center"/>
          </w:tcPr>
          <w:p>
            <w:pPr>
              <w:pStyle w:val="3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三级节点</w:t>
            </w:r>
          </w:p>
        </w:tc>
        <w:tc>
          <w:tcPr>
            <w:tcW w:w="8335" w:type="dxa"/>
            <w:vAlign w:val="center"/>
          </w:tcPr>
          <w:p>
            <w:pPr>
              <w:pStyle w:val="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第1次未按期完成，罚5万元，并全线通报；</w:t>
            </w:r>
          </w:p>
          <w:p>
            <w:pPr>
              <w:pStyle w:val="3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2.工期调整后仍未完成</w:t>
            </w:r>
            <w:r>
              <w:rPr>
                <w:rFonts w:hint="eastAsia" w:ascii="宋体" w:hAnsi="宋体"/>
                <w:sz w:val="24"/>
                <w:szCs w:val="24"/>
              </w:rPr>
              <w:t>，罚10万元，</w:t>
            </w:r>
            <w:r>
              <w:rPr>
                <w:rFonts w:hint="eastAsia"/>
              </w:rPr>
              <w:t>视延期严重情况，要求公司派驻工作组，由公司主管领导或集团领导带队，至工期被认可为止。</w:t>
            </w:r>
          </w:p>
        </w:tc>
      </w:tr>
    </w:tbl>
    <w:p>
      <w:pPr>
        <w:pStyle w:val="19"/>
        <w:widowControl/>
        <w:adjustRightInd w:val="0"/>
        <w:snapToGrid w:val="0"/>
        <w:ind w:firstLine="540"/>
        <w:rPr>
          <w:rFonts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 w:val="0"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1.一、二级节点原则上不予调整；</w:t>
      </w:r>
    </w:p>
    <w:p>
      <w:pPr>
        <w:pStyle w:val="19"/>
        <w:widowControl/>
        <w:numPr>
          <w:ilvl w:val="0"/>
          <w:numId w:val="2"/>
        </w:numPr>
        <w:adjustRightInd w:val="0"/>
        <w:snapToGrid w:val="0"/>
        <w:ind w:firstLine="540"/>
        <w:rPr>
          <w:rFonts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三级节点第1次未按期完成，总包部约谈工区项目经理，并</w:t>
      </w:r>
      <w:r>
        <w:rPr>
          <w:rStyle w:val="15"/>
          <w:rFonts w:hint="eastAsia"/>
          <w:lang w:val="en-US" w:eastAsia="zh-CN"/>
        </w:rPr>
        <w:t>制定</w:t>
      </w: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新的节点工期目标，且不得延期工区总节点目标</w:t>
      </w: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19"/>
        <w:widowControl/>
        <w:numPr>
          <w:ilvl w:val="0"/>
          <w:numId w:val="2"/>
        </w:numPr>
        <w:adjustRightInd w:val="0"/>
        <w:snapToGrid w:val="0"/>
        <w:ind w:firstLine="540"/>
        <w:rPr>
          <w:rFonts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:lang w:val="en-US" w:eastAsia="zh-CN"/>
          <w14:textFill>
            <w14:solidFill>
              <w14:schemeClr w14:val="tx1"/>
            </w14:solidFill>
          </w14:textFill>
        </w:rPr>
        <w:t>若工区节点目标延期一定期限，对各工区进行经济处罚的同时，按照《工期预警管理办法》启动预警机制。</w:t>
      </w:r>
    </w:p>
    <w:p>
      <w:pPr>
        <w:pStyle w:val="19"/>
        <w:widowControl/>
        <w:adjustRightInd w:val="0"/>
        <w:snapToGrid w:val="0"/>
        <w:ind w:firstLine="540"/>
        <w:rPr>
          <w:bCs/>
          <w:highlight w:val="yellow"/>
        </w:rPr>
      </w:pP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（二） </w:t>
      </w: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hint="eastAsia" w:ascii="宋体" w:hAnsi="宋体" w:cs="宋体"/>
          <w:bCs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实施</w:t>
      </w:r>
    </w:p>
    <w:p>
      <w:pPr>
        <w:pStyle w:val="19"/>
        <w:widowControl/>
        <w:adjustRightInd w:val="0"/>
        <w:snapToGrid w:val="0"/>
        <w:rPr>
          <w:rFonts w:hint="eastAsia"/>
        </w:rPr>
      </w:pPr>
      <w:r>
        <w:rPr>
          <w:rFonts w:hint="eastAsia"/>
        </w:rPr>
        <w:t>1.总包部合约部依据本办法及含</w:t>
      </w:r>
      <w:r>
        <w:rPr>
          <w:rFonts w:hint="eastAsia"/>
          <w:lang w:val="en-US" w:eastAsia="zh-CN"/>
        </w:rPr>
        <w:t>处</w:t>
      </w:r>
      <w:r>
        <w:rPr>
          <w:rFonts w:hint="eastAsia"/>
        </w:rPr>
        <w:t>罚结果的正式文件将相关工区的</w:t>
      </w:r>
      <w:r>
        <w:rPr>
          <w:rFonts w:hint="eastAsia"/>
          <w:lang w:val="en-US" w:eastAsia="zh-CN"/>
        </w:rPr>
        <w:t>处</w:t>
      </w:r>
      <w:r>
        <w:rPr>
          <w:rFonts w:hint="eastAsia"/>
        </w:rPr>
        <w:t>罚款项列入下一期验工计价，</w:t>
      </w:r>
      <w:r>
        <w:rPr>
          <w:rFonts w:hint="eastAsia"/>
          <w:lang w:val="en-US" w:eastAsia="zh-CN"/>
        </w:rPr>
        <w:t>相关</w:t>
      </w:r>
      <w:r>
        <w:rPr>
          <w:rFonts w:hint="eastAsia"/>
        </w:rPr>
        <w:t>资料由总包部工程部负责备案。</w:t>
      </w:r>
    </w:p>
    <w:p>
      <w:pPr>
        <w:pStyle w:val="19"/>
        <w:widowControl/>
        <w:adjustRightInd w:val="0"/>
        <w:snapToGrid w:val="0"/>
        <w:rPr>
          <w:rFonts w:hint="eastAsia"/>
        </w:rPr>
      </w:pPr>
      <w:r>
        <w:rPr>
          <w:rFonts w:hint="eastAsia"/>
        </w:rPr>
        <w:t>2.相关工区在开具下一期验工计价发票时，须扣除相应</w:t>
      </w:r>
      <w:r>
        <w:rPr>
          <w:rFonts w:hint="eastAsia"/>
          <w:lang w:val="en-US" w:eastAsia="zh-CN"/>
        </w:rPr>
        <w:t>处</w:t>
      </w:r>
      <w:r>
        <w:rPr>
          <w:rFonts w:hint="eastAsia"/>
        </w:rPr>
        <w:t>罚金额。示例如下：</w:t>
      </w:r>
    </w:p>
    <w:p>
      <w:pPr>
        <w:pStyle w:val="19"/>
        <w:widowControl/>
        <w:adjustRightInd w:val="0"/>
        <w:snapToGrid w:val="0"/>
        <w:rPr>
          <w:rFonts w:hint="eastAsia"/>
        </w:rPr>
      </w:pPr>
      <w:r>
        <w:rPr>
          <w:rFonts w:hint="eastAsia"/>
        </w:rPr>
        <w:t>工区A在季度考评中获10万元处罚，总包部合约部审定的对工区A下一期验工计价费为1000万元，工区A开具的发票金额应为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90万元。</w:t>
      </w:r>
    </w:p>
    <w:p>
      <w:pPr>
        <w:pStyle w:val="19"/>
        <w:widowControl/>
        <w:adjustRightInd w:val="0"/>
        <w:snapToGrid w:val="0"/>
        <w:rPr>
          <w:highlight w:val="yellow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处</w:t>
      </w:r>
      <w:r>
        <w:rPr>
          <w:rFonts w:hint="eastAsia"/>
        </w:rPr>
        <w:t>罚金额足额扣除。</w:t>
      </w:r>
    </w:p>
    <w:p>
      <w:pPr>
        <w:pStyle w:val="3"/>
      </w:pPr>
      <w:bookmarkStart w:id="13" w:name="_Toc421717500"/>
      <w:bookmarkStart w:id="14" w:name="_Toc421534913"/>
      <w:bookmarkStart w:id="15" w:name="_Toc23910"/>
      <w:r>
        <w:rPr>
          <w:rFonts w:hint="eastAsia"/>
        </w:rPr>
        <w:t>第四章</w:t>
      </w:r>
      <w:bookmarkEnd w:id="13"/>
      <w:bookmarkEnd w:id="14"/>
      <w:bookmarkStart w:id="16" w:name="_Toc421717501"/>
      <w:bookmarkStart w:id="17" w:name="_Toc421534914"/>
      <w:r>
        <w:t xml:space="preserve"> </w:t>
      </w:r>
      <w:r>
        <w:rPr>
          <w:rFonts w:hint="eastAsia"/>
        </w:rPr>
        <w:t>附则</w:t>
      </w:r>
      <w:bookmarkEnd w:id="15"/>
      <w:bookmarkEnd w:id="16"/>
      <w:bookmarkEnd w:id="17"/>
    </w:p>
    <w:p>
      <w:pPr>
        <w:pStyle w:val="19"/>
        <w:ind w:firstLine="542"/>
        <w:rPr>
          <w:rFonts w:ascii="宋体" w:hAnsi="宋体" w:cs="宋体"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宋体" w:hAnsi="宋体" w:cs="宋体"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szCs w:val="24"/>
        </w:rPr>
        <w:t>本办法由总包部工程部负责解释和修订。</w:t>
      </w:r>
    </w:p>
    <w:p>
      <w:pPr>
        <w:pStyle w:val="19"/>
        <w:ind w:firstLine="542"/>
        <w:rPr>
          <w:szCs w:val="24"/>
        </w:rPr>
        <w:sectPr>
          <w:headerReference r:id="rId6" w:type="default"/>
          <w:footerReference r:id="rId7" w:type="default"/>
          <w:pgSz w:w="11906" w:h="16838"/>
          <w:pgMar w:top="1440" w:right="1134" w:bottom="1440" w:left="1134" w:header="454" w:footer="0" w:gutter="0"/>
          <w:pgNumType w:fmt="decimal" w:start="1"/>
          <w:cols w:space="425" w:num="1"/>
          <w:docGrid w:type="lines" w:linePitch="326" w:charSpace="0"/>
        </w:sectPr>
      </w:pPr>
      <w:r>
        <w:rPr>
          <w:rFonts w:hint="eastAsia" w:ascii="宋体" w:hAnsi="宋体" w:cs="宋体"/>
          <w:b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宋体" w:hAnsi="宋体" w:cs="宋体"/>
          <w:color w:val="000000" w:themeColor="text1"/>
          <w:spacing w:val="15"/>
          <w:kern w:val="0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szCs w:val="24"/>
        </w:rPr>
        <w:t>本办法自发布之日起实施。</w:t>
      </w:r>
    </w:p>
    <w:p>
      <w:pPr>
        <w:pStyle w:val="19"/>
        <w:rPr>
          <w:szCs w:val="24"/>
        </w:rPr>
      </w:pPr>
      <w:r>
        <w:rPr>
          <w:rFonts w:hint="eastAsia"/>
          <w:szCs w:val="24"/>
        </w:rPr>
        <w:t>附表1</w:t>
      </w:r>
    </w:p>
    <w:p>
      <w:pPr>
        <w:spacing w:line="240" w:lineRule="auto"/>
        <w:jc w:val="center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年节点目标验收表</w:t>
      </w:r>
    </w:p>
    <w:p>
      <w:pPr>
        <w:spacing w:line="240" w:lineRule="auto"/>
        <w:jc w:val="center"/>
        <w:rPr>
          <w:rFonts w:ascii="仿宋_GB2312" w:hAnsi="仿宋_GB2312" w:eastAsia="仿宋_GB2312" w:cs="仿宋_GB2312"/>
          <w:b/>
          <w:bCs/>
          <w:szCs w:val="32"/>
        </w:rPr>
      </w:pPr>
    </w:p>
    <w:tbl>
      <w:tblPr>
        <w:tblStyle w:val="16"/>
        <w:tblW w:w="8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363"/>
        <w:gridCol w:w="201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工区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节点目标名称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节点目标时间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节点性质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现场完成情况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exact"/>
          <w:jc w:val="center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验收小组</w:t>
            </w:r>
            <w:r>
              <w:rPr>
                <w:rFonts w:ascii="仿宋_GB2312" w:hAnsi="宋体" w:eastAsia="仿宋_GB2312" w:cs="宋体"/>
              </w:rPr>
              <w:t>意见</w:t>
            </w:r>
          </w:p>
        </w:tc>
        <w:tc>
          <w:tcPr>
            <w:tcW w:w="6503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7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验收小组成员 汇签</w:t>
            </w:r>
          </w:p>
        </w:tc>
        <w:tc>
          <w:tcPr>
            <w:tcW w:w="6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rFonts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验收小组组长 意见</w:t>
            </w:r>
          </w:p>
        </w:tc>
        <w:tc>
          <w:tcPr>
            <w:tcW w:w="6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</w:rPr>
            </w:pPr>
          </w:p>
        </w:tc>
      </w:tr>
    </w:tbl>
    <w:p>
      <w:pPr>
        <w:pStyle w:val="19"/>
        <w:ind w:firstLine="0" w:firstLineChars="0"/>
        <w:rPr>
          <w:szCs w:val="24"/>
        </w:rPr>
      </w:pPr>
    </w:p>
    <w:sectPr>
      <w:footerReference r:id="rId8" w:type="default"/>
      <w:pgSz w:w="11906" w:h="16838"/>
      <w:pgMar w:top="1440" w:right="1134" w:bottom="1440" w:left="1134" w:header="454" w:footer="0" w:gutter="0"/>
      <w:pgNumType w:fmt="decimal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长城行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mercialPi BT"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New York">
    <w:altName w:val="Segoe Print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全真中明體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文鼎CS书宋二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10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'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華康仿宋體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T283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2AD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HiddenHorzOCR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Futura Bk">
    <w:altName w:val="Trebuchet MS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Cumberland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ldine401 BT">
    <w:altName w:val="Segoe Print"/>
    <w:panose1 w:val="00000000000000000000"/>
    <w:charset w:val="00"/>
    <w:family w:val="roman"/>
    <w:pitch w:val="default"/>
    <w:sig w:usb0="00000000" w:usb1="00000000" w:usb2="00000000" w:usb3="00000000" w:csb0="00000011" w:csb1="00000000"/>
  </w:font>
  <w:font w:name="Futura Hv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FHLHE E+ Futura 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ingFang SC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r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思源黑体 CN Bold">
    <w:altName w:val="Arial Unicode MS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思源黑体 CN Regular">
    <w:altName w:val="Arial Unicode MS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LF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Microsoft JhengHei Light">
    <w:altName w:val="宋体"/>
    <w:panose1 w:val="020B0304030504040204"/>
    <w:charset w:val="86"/>
    <w:family w:val="swiss"/>
    <w:pitch w:val="default"/>
    <w:sig w:usb0="00000000" w:usb1="00000000" w:usb2="00000016" w:usb3="00000000" w:csb0="00100009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Univer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三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itka Text">
    <w:altName w:val="AmdtSymbols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T283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行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F 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rutiger 45 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">
    <w:altName w:val="Palatino Linotype"/>
    <w:panose1 w:val="02040602050305020304"/>
    <w:charset w:val="00"/>
    <w:family w:val="roman"/>
    <w:pitch w:val="default"/>
    <w:sig w:usb0="00000000" w:usb1="00000000" w:usb2="00000000" w:usb3="00000000" w:csb0="00000093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B Frutiger 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estige Elite Std"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icrosoft New Tai Lue">
    <w:panose1 w:val="020B0502040204020203"/>
    <w:charset w:val="00"/>
    <w:family w:val="swiss"/>
    <w:pitch w:val="default"/>
    <w:sig w:usb0="00000003" w:usb1="00000000" w:usb2="80000000" w:usb3="00000000" w:csb0="00000001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JQY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ath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ap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wis721 BlkEx BT"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Swis721 BlkCn BT">
    <w:panose1 w:val="020B0806030502040204"/>
    <w:charset w:val="00"/>
    <w:family w:val="auto"/>
    <w:pitch w:val="default"/>
    <w:sig w:usb0="00000000" w:usb1="00000000" w:usb2="00000000" w:usb3="00000000" w:csb0="00000000" w:csb1="00000000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SuperFrench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wis721 Blk BT">
    <w:panose1 w:val="020B0904030502020204"/>
    <w:charset w:val="00"/>
    <w:family w:val="auto"/>
    <w:pitch w:val="default"/>
    <w:sig w:usb0="00000000" w:usb1="00000000" w:usb2="00000000" w:usb3="00000000" w:csb0="00000000" w:csb1="00000000"/>
  </w:font>
  <w:font w:name="Swis721 Lt BT"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Swis721 LtCn BT"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Syastro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wis721 Ex BT">
    <w:panose1 w:val="020B0605020202020204"/>
    <w:charset w:val="00"/>
    <w:family w:val="auto"/>
    <w:pitch w:val="default"/>
    <w:sig w:usb0="00000000" w:usb1="00000000" w:usb2="00000000" w:usb3="00000000" w:csb0="0000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Banner">
    <w:altName w:val="AmdtSymbols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3075940</wp:posOffset>
              </wp:positionH>
              <wp:positionV relativeFrom="paragraph">
                <wp:posOffset>-390525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42.2pt;margin-top:-3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1/n3z2QAAAAsBAAAPAAAA&#10;AAAAAAEAIAAAACIAAABkcnMvZG93bnJldi54bWxQSwECFAAUAAAACACHTuJAXtCZFRQCAAATBAAA&#10;DgAAAAAAAAABACAAAAAo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rFonts w:ascii="黑体" w:hAnsi="宋体" w:eastAsia="黑体" w:cs="黑体"/>
        <w:sz w:val="28"/>
        <w:szCs w:val="28"/>
      </w:rPr>
    </w:pPr>
  </w:p>
  <w:p>
    <w:pPr>
      <w:pStyle w:val="9"/>
      <w:pBdr>
        <w:bottom w:val="none" w:color="auto" w:sz="0" w:space="0"/>
      </w:pBdr>
      <w:jc w:val="right"/>
    </w:pPr>
    <w:r>
      <w:rPr>
        <w:rFonts w:hint="eastAsia"/>
      </w:rPr>
      <w:drawing>
        <wp:anchor distT="0" distB="0" distL="0" distR="0" simplePos="0" relativeHeight="251672576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-207645</wp:posOffset>
          </wp:positionV>
          <wp:extent cx="3375660" cy="481965"/>
          <wp:effectExtent l="0" t="0" r="15240" b="13335"/>
          <wp:wrapNone/>
          <wp:docPr id="7" name="图片 0" descr="C:\Users\wangliwu\Desktop\制度、文件\制度\台州总包部制度\总包部考勤管理办法20190107\苏州中车logo.png苏州中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C:\Users\wangliwu\Desktop\制度、文件\制度\台州总包部制度\总包部考勤管理办法20190107\苏州中车logo.png苏州中车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566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黑体" w:hAnsi="宋体" w:eastAsia="黑体" w:cs="黑体"/>
        <w:sz w:val="28"/>
        <w:szCs w:val="28"/>
      </w:rPr>
      <w:t>ZCJG</w:t>
    </w:r>
    <w:r>
      <w:rPr>
        <w:rFonts w:hint="eastAsia" w:ascii="黑体" w:hAnsi="宋体" w:eastAsia="黑体" w:cs="黑体"/>
        <w:sz w:val="28"/>
        <w:szCs w:val="28"/>
      </w:rPr>
      <w:t>/</w:t>
    </w:r>
    <w:r>
      <w:rPr>
        <w:rFonts w:ascii="黑体" w:hAnsi="宋体" w:eastAsia="黑体" w:cs="黑体"/>
        <w:sz w:val="28"/>
        <w:szCs w:val="28"/>
      </w:rPr>
      <w:t>G</w:t>
    </w:r>
    <w:r>
      <w:rPr>
        <w:rFonts w:hint="eastAsia"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TZZB</w:t>
    </w:r>
    <w:r>
      <w:rPr>
        <w:rFonts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22</w:t>
    </w:r>
    <w:r>
      <w:rPr>
        <w:rFonts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B42"/>
    <w:multiLevelType w:val="multilevel"/>
    <w:tmpl w:val="290F6B42"/>
    <w:lvl w:ilvl="0" w:tentative="0">
      <w:start w:val="1"/>
      <w:numFmt w:val="chineseCountingThousand"/>
      <w:pStyle w:val="4"/>
      <w:lvlText w:val="第%1条"/>
      <w:lvlJc w:val="left"/>
      <w:pPr>
        <w:ind w:left="1155" w:hanging="420"/>
      </w:p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abstractNum w:abstractNumId="1">
    <w:nsid w:val="5C750EB2"/>
    <w:multiLevelType w:val="singleLevel"/>
    <w:tmpl w:val="5C750EB2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42F59"/>
    <w:rsid w:val="000128A7"/>
    <w:rsid w:val="000243BA"/>
    <w:rsid w:val="000500AD"/>
    <w:rsid w:val="000950F8"/>
    <w:rsid w:val="00096040"/>
    <w:rsid w:val="000A2FAD"/>
    <w:rsid w:val="000A3939"/>
    <w:rsid w:val="000B6A23"/>
    <w:rsid w:val="000E2EB7"/>
    <w:rsid w:val="00101DF9"/>
    <w:rsid w:val="00142586"/>
    <w:rsid w:val="00156153"/>
    <w:rsid w:val="001B12BE"/>
    <w:rsid w:val="001B4E48"/>
    <w:rsid w:val="001D3020"/>
    <w:rsid w:val="0020054A"/>
    <w:rsid w:val="002468B0"/>
    <w:rsid w:val="002539B5"/>
    <w:rsid w:val="00256255"/>
    <w:rsid w:val="002A5EF1"/>
    <w:rsid w:val="00307C06"/>
    <w:rsid w:val="00315CA4"/>
    <w:rsid w:val="003334B5"/>
    <w:rsid w:val="00334113"/>
    <w:rsid w:val="003423C7"/>
    <w:rsid w:val="0034546D"/>
    <w:rsid w:val="003856D3"/>
    <w:rsid w:val="00386574"/>
    <w:rsid w:val="00395636"/>
    <w:rsid w:val="003D0E91"/>
    <w:rsid w:val="003E24EF"/>
    <w:rsid w:val="003F278F"/>
    <w:rsid w:val="003F58E1"/>
    <w:rsid w:val="0042375B"/>
    <w:rsid w:val="00431ACC"/>
    <w:rsid w:val="0043742F"/>
    <w:rsid w:val="00446D62"/>
    <w:rsid w:val="00457A66"/>
    <w:rsid w:val="004A6C0C"/>
    <w:rsid w:val="004B4C07"/>
    <w:rsid w:val="004F2377"/>
    <w:rsid w:val="004F4836"/>
    <w:rsid w:val="00517DF9"/>
    <w:rsid w:val="00551991"/>
    <w:rsid w:val="0057525B"/>
    <w:rsid w:val="005929E4"/>
    <w:rsid w:val="005D595F"/>
    <w:rsid w:val="005F0585"/>
    <w:rsid w:val="005F2049"/>
    <w:rsid w:val="00607E1D"/>
    <w:rsid w:val="00623C6F"/>
    <w:rsid w:val="00633501"/>
    <w:rsid w:val="006413D4"/>
    <w:rsid w:val="00655DF6"/>
    <w:rsid w:val="0065750B"/>
    <w:rsid w:val="006675DF"/>
    <w:rsid w:val="00692EA5"/>
    <w:rsid w:val="006E6E5F"/>
    <w:rsid w:val="006E75A7"/>
    <w:rsid w:val="007514ED"/>
    <w:rsid w:val="007877C1"/>
    <w:rsid w:val="007C2073"/>
    <w:rsid w:val="00860DB3"/>
    <w:rsid w:val="008B3CE4"/>
    <w:rsid w:val="008C5EFC"/>
    <w:rsid w:val="008E5BA1"/>
    <w:rsid w:val="00910E75"/>
    <w:rsid w:val="009165AA"/>
    <w:rsid w:val="00961992"/>
    <w:rsid w:val="00982E9C"/>
    <w:rsid w:val="009860C5"/>
    <w:rsid w:val="0098725A"/>
    <w:rsid w:val="00A12011"/>
    <w:rsid w:val="00A35A2E"/>
    <w:rsid w:val="00A76125"/>
    <w:rsid w:val="00A909F4"/>
    <w:rsid w:val="00AA2982"/>
    <w:rsid w:val="00AB3345"/>
    <w:rsid w:val="00AD2CF7"/>
    <w:rsid w:val="00AE51B4"/>
    <w:rsid w:val="00AF607E"/>
    <w:rsid w:val="00B33B5E"/>
    <w:rsid w:val="00B4205D"/>
    <w:rsid w:val="00BB5377"/>
    <w:rsid w:val="00BC0C75"/>
    <w:rsid w:val="00BE50BF"/>
    <w:rsid w:val="00BF6B79"/>
    <w:rsid w:val="00C5740D"/>
    <w:rsid w:val="00C618C3"/>
    <w:rsid w:val="00C85A29"/>
    <w:rsid w:val="00C9070D"/>
    <w:rsid w:val="00C9411C"/>
    <w:rsid w:val="00CD0A78"/>
    <w:rsid w:val="00CF3448"/>
    <w:rsid w:val="00CF443E"/>
    <w:rsid w:val="00D018EF"/>
    <w:rsid w:val="00D328A6"/>
    <w:rsid w:val="00D32EB0"/>
    <w:rsid w:val="00D42B1C"/>
    <w:rsid w:val="00D90E75"/>
    <w:rsid w:val="00DE2783"/>
    <w:rsid w:val="00E34E57"/>
    <w:rsid w:val="00E374E9"/>
    <w:rsid w:val="00E40CA4"/>
    <w:rsid w:val="00E6733B"/>
    <w:rsid w:val="00E90BA1"/>
    <w:rsid w:val="00EA1982"/>
    <w:rsid w:val="00EA5570"/>
    <w:rsid w:val="00EA6A4B"/>
    <w:rsid w:val="00EB7DC2"/>
    <w:rsid w:val="00ED3382"/>
    <w:rsid w:val="00EE692A"/>
    <w:rsid w:val="00EF7EA9"/>
    <w:rsid w:val="00F12C97"/>
    <w:rsid w:val="00F31359"/>
    <w:rsid w:val="00F36A91"/>
    <w:rsid w:val="00F95DEB"/>
    <w:rsid w:val="00FA1F10"/>
    <w:rsid w:val="00FD056F"/>
    <w:rsid w:val="00FE2474"/>
    <w:rsid w:val="00FF1B93"/>
    <w:rsid w:val="01622DD2"/>
    <w:rsid w:val="03653F79"/>
    <w:rsid w:val="037E3827"/>
    <w:rsid w:val="04A74D3D"/>
    <w:rsid w:val="04CC1D94"/>
    <w:rsid w:val="05E108D4"/>
    <w:rsid w:val="05E41AE9"/>
    <w:rsid w:val="06214A29"/>
    <w:rsid w:val="06324749"/>
    <w:rsid w:val="07F37731"/>
    <w:rsid w:val="0908161D"/>
    <w:rsid w:val="091D4BFD"/>
    <w:rsid w:val="09764FE8"/>
    <w:rsid w:val="0A0F5A26"/>
    <w:rsid w:val="0BA64D04"/>
    <w:rsid w:val="0CF85F28"/>
    <w:rsid w:val="0D8B59F2"/>
    <w:rsid w:val="0D8C0CAC"/>
    <w:rsid w:val="0DCE67EE"/>
    <w:rsid w:val="0DD04182"/>
    <w:rsid w:val="0EB233B0"/>
    <w:rsid w:val="105824F1"/>
    <w:rsid w:val="109060C7"/>
    <w:rsid w:val="10CA3B85"/>
    <w:rsid w:val="115D423F"/>
    <w:rsid w:val="11790F58"/>
    <w:rsid w:val="11813567"/>
    <w:rsid w:val="11936CF2"/>
    <w:rsid w:val="11A67FC1"/>
    <w:rsid w:val="11EB3E8A"/>
    <w:rsid w:val="129F4DF9"/>
    <w:rsid w:val="132C6717"/>
    <w:rsid w:val="132F5EAA"/>
    <w:rsid w:val="13993EE0"/>
    <w:rsid w:val="14137634"/>
    <w:rsid w:val="1427292E"/>
    <w:rsid w:val="14421B46"/>
    <w:rsid w:val="145D45E8"/>
    <w:rsid w:val="14720A97"/>
    <w:rsid w:val="14A04F63"/>
    <w:rsid w:val="1551151E"/>
    <w:rsid w:val="15623355"/>
    <w:rsid w:val="15AF3795"/>
    <w:rsid w:val="15C059EB"/>
    <w:rsid w:val="16100D4C"/>
    <w:rsid w:val="16504596"/>
    <w:rsid w:val="165A3559"/>
    <w:rsid w:val="1668611E"/>
    <w:rsid w:val="167B3351"/>
    <w:rsid w:val="16AD7694"/>
    <w:rsid w:val="16C54E3C"/>
    <w:rsid w:val="17B11C37"/>
    <w:rsid w:val="18585579"/>
    <w:rsid w:val="18B83F49"/>
    <w:rsid w:val="19263CE6"/>
    <w:rsid w:val="19410257"/>
    <w:rsid w:val="19A103E0"/>
    <w:rsid w:val="19A256DF"/>
    <w:rsid w:val="19DB6613"/>
    <w:rsid w:val="1AF3116E"/>
    <w:rsid w:val="1B223D74"/>
    <w:rsid w:val="1B6D1B4F"/>
    <w:rsid w:val="1BE615F9"/>
    <w:rsid w:val="1C37579F"/>
    <w:rsid w:val="1CBC0659"/>
    <w:rsid w:val="1CBD77BA"/>
    <w:rsid w:val="1D064983"/>
    <w:rsid w:val="1D1B4774"/>
    <w:rsid w:val="1D7952DE"/>
    <w:rsid w:val="1E1C7C56"/>
    <w:rsid w:val="1EEB7C84"/>
    <w:rsid w:val="1F205255"/>
    <w:rsid w:val="1F575425"/>
    <w:rsid w:val="1F9A2AC0"/>
    <w:rsid w:val="1FDF117C"/>
    <w:rsid w:val="20B1018F"/>
    <w:rsid w:val="20B51FCF"/>
    <w:rsid w:val="2188007E"/>
    <w:rsid w:val="21B32076"/>
    <w:rsid w:val="21D67164"/>
    <w:rsid w:val="22BD1215"/>
    <w:rsid w:val="25056AA3"/>
    <w:rsid w:val="255334B1"/>
    <w:rsid w:val="256A075E"/>
    <w:rsid w:val="26010374"/>
    <w:rsid w:val="26DB62C5"/>
    <w:rsid w:val="288A6ECE"/>
    <w:rsid w:val="28FF03CC"/>
    <w:rsid w:val="29517860"/>
    <w:rsid w:val="29EC7C67"/>
    <w:rsid w:val="29EF0355"/>
    <w:rsid w:val="2A3200A1"/>
    <w:rsid w:val="2ADC419F"/>
    <w:rsid w:val="2B024F21"/>
    <w:rsid w:val="2B512360"/>
    <w:rsid w:val="2B5B07A8"/>
    <w:rsid w:val="2C74473A"/>
    <w:rsid w:val="2C785856"/>
    <w:rsid w:val="2CBA4416"/>
    <w:rsid w:val="2DD606A3"/>
    <w:rsid w:val="2DEA7830"/>
    <w:rsid w:val="2F1368B1"/>
    <w:rsid w:val="2F2F0B0C"/>
    <w:rsid w:val="2F3D6DED"/>
    <w:rsid w:val="2F7A54B7"/>
    <w:rsid w:val="2FA937E7"/>
    <w:rsid w:val="2FAA3266"/>
    <w:rsid w:val="30342F59"/>
    <w:rsid w:val="308828E5"/>
    <w:rsid w:val="30E47535"/>
    <w:rsid w:val="310A0BF0"/>
    <w:rsid w:val="31193B0A"/>
    <w:rsid w:val="313F0BD7"/>
    <w:rsid w:val="318D2F75"/>
    <w:rsid w:val="31D8335C"/>
    <w:rsid w:val="32045C2A"/>
    <w:rsid w:val="323430E8"/>
    <w:rsid w:val="33054978"/>
    <w:rsid w:val="333A1CDD"/>
    <w:rsid w:val="33D964BB"/>
    <w:rsid w:val="33EC2CD2"/>
    <w:rsid w:val="34CD76D9"/>
    <w:rsid w:val="34EA147E"/>
    <w:rsid w:val="35416E89"/>
    <w:rsid w:val="3666052D"/>
    <w:rsid w:val="36DA796C"/>
    <w:rsid w:val="36DD2849"/>
    <w:rsid w:val="37343DED"/>
    <w:rsid w:val="377A0B68"/>
    <w:rsid w:val="37B86DDB"/>
    <w:rsid w:val="38161568"/>
    <w:rsid w:val="385851C6"/>
    <w:rsid w:val="38F50EE8"/>
    <w:rsid w:val="3AB70E8F"/>
    <w:rsid w:val="3ACB4F04"/>
    <w:rsid w:val="3AF30E0E"/>
    <w:rsid w:val="3B221B10"/>
    <w:rsid w:val="3C0E7DF0"/>
    <w:rsid w:val="3C3824A3"/>
    <w:rsid w:val="3D2E2EAB"/>
    <w:rsid w:val="3D5D0881"/>
    <w:rsid w:val="3DFF6615"/>
    <w:rsid w:val="3E701D19"/>
    <w:rsid w:val="3E920603"/>
    <w:rsid w:val="3ED70171"/>
    <w:rsid w:val="3F07450A"/>
    <w:rsid w:val="40013CE4"/>
    <w:rsid w:val="40AF3A31"/>
    <w:rsid w:val="412540D5"/>
    <w:rsid w:val="423B2D3C"/>
    <w:rsid w:val="42457E34"/>
    <w:rsid w:val="424907E1"/>
    <w:rsid w:val="42663C25"/>
    <w:rsid w:val="42852B1E"/>
    <w:rsid w:val="42A72C5D"/>
    <w:rsid w:val="4418607B"/>
    <w:rsid w:val="447031C6"/>
    <w:rsid w:val="447650FD"/>
    <w:rsid w:val="45D57D31"/>
    <w:rsid w:val="469A2102"/>
    <w:rsid w:val="47002899"/>
    <w:rsid w:val="470E6C3E"/>
    <w:rsid w:val="47C84F72"/>
    <w:rsid w:val="48C72AF0"/>
    <w:rsid w:val="48CB36B1"/>
    <w:rsid w:val="48F45BA5"/>
    <w:rsid w:val="49412648"/>
    <w:rsid w:val="49BB7AB7"/>
    <w:rsid w:val="49F6177E"/>
    <w:rsid w:val="4A4D5E06"/>
    <w:rsid w:val="4A5C7224"/>
    <w:rsid w:val="4A6528EC"/>
    <w:rsid w:val="4A6A5B38"/>
    <w:rsid w:val="4B4F1E76"/>
    <w:rsid w:val="4BB867D1"/>
    <w:rsid w:val="4BEA7A66"/>
    <w:rsid w:val="4C7C1E1D"/>
    <w:rsid w:val="4C8D60D9"/>
    <w:rsid w:val="4CAB7906"/>
    <w:rsid w:val="4CC1461C"/>
    <w:rsid w:val="4CFA5B2F"/>
    <w:rsid w:val="4D4A404B"/>
    <w:rsid w:val="4EBA7193"/>
    <w:rsid w:val="4EF729F3"/>
    <w:rsid w:val="5057728B"/>
    <w:rsid w:val="510F1865"/>
    <w:rsid w:val="5159705E"/>
    <w:rsid w:val="51812D69"/>
    <w:rsid w:val="51D716D8"/>
    <w:rsid w:val="526F1EEC"/>
    <w:rsid w:val="53341768"/>
    <w:rsid w:val="53534638"/>
    <w:rsid w:val="546B15C7"/>
    <w:rsid w:val="54B23580"/>
    <w:rsid w:val="54B73CF5"/>
    <w:rsid w:val="55860159"/>
    <w:rsid w:val="55D54511"/>
    <w:rsid w:val="5750575F"/>
    <w:rsid w:val="57792510"/>
    <w:rsid w:val="577D2430"/>
    <w:rsid w:val="579434E7"/>
    <w:rsid w:val="57A4738C"/>
    <w:rsid w:val="583C60F9"/>
    <w:rsid w:val="586E1F41"/>
    <w:rsid w:val="58870610"/>
    <w:rsid w:val="59220E39"/>
    <w:rsid w:val="59373332"/>
    <w:rsid w:val="59763B45"/>
    <w:rsid w:val="59E811BA"/>
    <w:rsid w:val="5A2D5AF9"/>
    <w:rsid w:val="5A356A5F"/>
    <w:rsid w:val="5A652BC8"/>
    <w:rsid w:val="5B4345BA"/>
    <w:rsid w:val="5BBE49E7"/>
    <w:rsid w:val="5C1E4115"/>
    <w:rsid w:val="5C6E3066"/>
    <w:rsid w:val="5C7B6FF6"/>
    <w:rsid w:val="5C826BB1"/>
    <w:rsid w:val="5CDE27DD"/>
    <w:rsid w:val="5CE50DD2"/>
    <w:rsid w:val="5D960B50"/>
    <w:rsid w:val="5DE337B0"/>
    <w:rsid w:val="5EB96065"/>
    <w:rsid w:val="5F894313"/>
    <w:rsid w:val="6134746B"/>
    <w:rsid w:val="61536E3B"/>
    <w:rsid w:val="61AD60D5"/>
    <w:rsid w:val="61D518F1"/>
    <w:rsid w:val="628B13F4"/>
    <w:rsid w:val="63404733"/>
    <w:rsid w:val="64AD5BEA"/>
    <w:rsid w:val="64F03F40"/>
    <w:rsid w:val="65536C83"/>
    <w:rsid w:val="65874FCE"/>
    <w:rsid w:val="666B78AF"/>
    <w:rsid w:val="66CD7936"/>
    <w:rsid w:val="67024AA7"/>
    <w:rsid w:val="67802B79"/>
    <w:rsid w:val="67970F48"/>
    <w:rsid w:val="67971963"/>
    <w:rsid w:val="67E779D0"/>
    <w:rsid w:val="685E7737"/>
    <w:rsid w:val="68930267"/>
    <w:rsid w:val="68994452"/>
    <w:rsid w:val="6B48012B"/>
    <w:rsid w:val="6B6F05A5"/>
    <w:rsid w:val="6C071DA7"/>
    <w:rsid w:val="6DD5219D"/>
    <w:rsid w:val="6E4A05CC"/>
    <w:rsid w:val="6E4D3822"/>
    <w:rsid w:val="6EDE6D2A"/>
    <w:rsid w:val="6F056F74"/>
    <w:rsid w:val="6F0B1202"/>
    <w:rsid w:val="6F4F2424"/>
    <w:rsid w:val="6F9C1D4A"/>
    <w:rsid w:val="6FEF6577"/>
    <w:rsid w:val="706F2089"/>
    <w:rsid w:val="709717AC"/>
    <w:rsid w:val="70C97F8E"/>
    <w:rsid w:val="7120528A"/>
    <w:rsid w:val="714A0763"/>
    <w:rsid w:val="71F86123"/>
    <w:rsid w:val="72306710"/>
    <w:rsid w:val="731222EC"/>
    <w:rsid w:val="74D95F5C"/>
    <w:rsid w:val="74E4797D"/>
    <w:rsid w:val="74F43B93"/>
    <w:rsid w:val="75EF1413"/>
    <w:rsid w:val="761D0D4F"/>
    <w:rsid w:val="76E44C0C"/>
    <w:rsid w:val="77C65BE7"/>
    <w:rsid w:val="78C20151"/>
    <w:rsid w:val="79C604E4"/>
    <w:rsid w:val="79D360C0"/>
    <w:rsid w:val="79F436D0"/>
    <w:rsid w:val="7A762D15"/>
    <w:rsid w:val="7AE16229"/>
    <w:rsid w:val="7AEB2A68"/>
    <w:rsid w:val="7AF82A7B"/>
    <w:rsid w:val="7B194C59"/>
    <w:rsid w:val="7B33719D"/>
    <w:rsid w:val="7BAA6E4F"/>
    <w:rsid w:val="7C125E35"/>
    <w:rsid w:val="7CAD3BAE"/>
    <w:rsid w:val="7D5B4167"/>
    <w:rsid w:val="7D6148FC"/>
    <w:rsid w:val="7DFA651A"/>
    <w:rsid w:val="7EAF1186"/>
    <w:rsid w:val="7EAF77B6"/>
    <w:rsid w:val="7F480033"/>
    <w:rsid w:val="7F7258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bCs/>
      <w:kern w:val="44"/>
      <w:sz w:val="28"/>
      <w:szCs w:val="28"/>
    </w:rPr>
  </w:style>
  <w:style w:type="paragraph" w:styleId="4">
    <w:name w:val="heading 2"/>
    <w:basedOn w:val="1"/>
    <w:next w:val="1"/>
    <w:unhideWhenUsed/>
    <w:qFormat/>
    <w:uiPriority w:val="0"/>
    <w:pPr>
      <w:numPr>
        <w:ilvl w:val="0"/>
        <w:numId w:val="1"/>
      </w:numPr>
      <w:adjustRightInd w:val="0"/>
      <w:snapToGrid w:val="0"/>
      <w:spacing w:line="560" w:lineRule="exact"/>
      <w:outlineLvl w:val="1"/>
    </w:pPr>
    <w:rPr>
      <w:rFonts w:ascii="仿宋" w:hAnsi="仿宋" w:eastAsia="仿宋"/>
      <w:b/>
      <w:color w:val="000000"/>
      <w:spacing w:val="15"/>
      <w:kern w:val="0"/>
      <w:sz w:val="32"/>
      <w:szCs w:val="28"/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正文"/>
    <w:basedOn w:val="1"/>
    <w:qFormat/>
    <w:uiPriority w:val="99"/>
    <w:rPr>
      <w:szCs w:val="20"/>
      <w:lang w:bidi="he-IL"/>
    </w:rPr>
  </w:style>
  <w:style w:type="paragraph" w:styleId="5">
    <w:name w:val="annotation subject"/>
    <w:basedOn w:val="6"/>
    <w:next w:val="6"/>
    <w:link w:val="29"/>
    <w:unhideWhenUsed/>
    <w:qFormat/>
    <w:uiPriority w:val="0"/>
    <w:rPr>
      <w:b/>
      <w:bCs/>
    </w:rPr>
  </w:style>
  <w:style w:type="paragraph" w:styleId="6">
    <w:name w:val="annotation text"/>
    <w:basedOn w:val="1"/>
    <w:link w:val="28"/>
    <w:unhideWhenUsed/>
    <w:qFormat/>
    <w:uiPriority w:val="0"/>
    <w:pPr>
      <w:jc w:val="left"/>
    </w:pPr>
  </w:style>
  <w:style w:type="paragraph" w:styleId="7">
    <w:name w:val="Balloon Text"/>
    <w:basedOn w:val="1"/>
    <w:link w:val="25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tabs>
        <w:tab w:val="right" w:leader="dot" w:pos="8080"/>
      </w:tabs>
      <w:adjustRightInd w:val="0"/>
      <w:snapToGrid w:val="0"/>
      <w:ind w:left="142" w:leftChars="59" w:right="-766" w:rightChars="-319"/>
      <w:jc w:val="left"/>
    </w:pPr>
    <w:rPr>
      <w:b/>
    </w:rPr>
  </w:style>
  <w:style w:type="paragraph" w:styleId="11">
    <w:name w:val="toc 2"/>
    <w:basedOn w:val="1"/>
    <w:next w:val="1"/>
    <w:unhideWhenUsed/>
    <w:qFormat/>
    <w:uiPriority w:val="0"/>
  </w:style>
  <w:style w:type="paragraph" w:styleId="12">
    <w:name w:val="Normal (Web)"/>
    <w:basedOn w:val="1"/>
    <w:qFormat/>
    <w:uiPriority w:val="0"/>
  </w:style>
  <w:style w:type="character" w:styleId="14">
    <w:name w:val="Hyperlink"/>
    <w:basedOn w:val="13"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8">
    <w:name w:val="TOC 标题1"/>
    <w:basedOn w:val="3"/>
    <w:next w:val="1"/>
    <w:unhideWhenUsed/>
    <w:qFormat/>
    <w:uiPriority w:val="39"/>
    <w:pPr>
      <w:outlineLvl w:val="9"/>
    </w:pPr>
  </w:style>
  <w:style w:type="paragraph" w:customStyle="1" w:styleId="19">
    <w:name w:val="列出段落1"/>
    <w:basedOn w:val="1"/>
    <w:qFormat/>
    <w:uiPriority w:val="34"/>
    <w:pPr>
      <w:ind w:firstLine="480" w:firstLineChars="200"/>
    </w:pPr>
  </w:style>
  <w:style w:type="paragraph" w:customStyle="1" w:styleId="20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msolistparagraph"/>
    <w:basedOn w:val="1"/>
    <w:qFormat/>
    <w:uiPriority w:val="0"/>
    <w:pPr>
      <w:ind w:firstLine="420" w:firstLineChars="200"/>
    </w:pPr>
    <w:rPr>
      <w:sz w:val="21"/>
    </w:rPr>
  </w:style>
  <w:style w:type="paragraph" w:customStyle="1" w:styleId="22">
    <w:name w:val="_Style 1"/>
    <w:basedOn w:val="1"/>
    <w:qFormat/>
    <w:uiPriority w:val="0"/>
    <w:pPr>
      <w:ind w:firstLine="420" w:firstLineChars="200"/>
    </w:pPr>
    <w:rPr>
      <w:sz w:val="21"/>
    </w:rPr>
  </w:style>
  <w:style w:type="paragraph" w:customStyle="1" w:styleId="23">
    <w:name w:val="Table Paragraph"/>
    <w:basedOn w:val="1"/>
    <w:qFormat/>
    <w:uiPriority w:val="1"/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25">
    <w:name w:val="批注框文本 字符"/>
    <w:basedOn w:val="13"/>
    <w:link w:val="7"/>
    <w:qFormat/>
    <w:uiPriority w:val="0"/>
    <w:rPr>
      <w:kern w:val="2"/>
      <w:sz w:val="18"/>
      <w:szCs w:val="18"/>
    </w:rPr>
  </w:style>
  <w:style w:type="character" w:customStyle="1" w:styleId="26">
    <w:name w:val="页脚 字符"/>
    <w:basedOn w:val="13"/>
    <w:link w:val="8"/>
    <w:qFormat/>
    <w:uiPriority w:val="99"/>
    <w:rPr>
      <w:kern w:val="2"/>
      <w:sz w:val="18"/>
      <w:szCs w:val="18"/>
    </w:rPr>
  </w:style>
  <w:style w:type="character" w:customStyle="1" w:styleId="27">
    <w:name w:val="页眉 字符"/>
    <w:basedOn w:val="13"/>
    <w:link w:val="9"/>
    <w:qFormat/>
    <w:uiPriority w:val="99"/>
    <w:rPr>
      <w:kern w:val="2"/>
      <w:sz w:val="18"/>
      <w:szCs w:val="18"/>
    </w:rPr>
  </w:style>
  <w:style w:type="character" w:customStyle="1" w:styleId="28">
    <w:name w:val="批注文字 字符"/>
    <w:basedOn w:val="13"/>
    <w:link w:val="6"/>
    <w:semiHidden/>
    <w:qFormat/>
    <w:uiPriority w:val="0"/>
    <w:rPr>
      <w:kern w:val="2"/>
      <w:sz w:val="24"/>
      <w:szCs w:val="22"/>
    </w:rPr>
  </w:style>
  <w:style w:type="character" w:customStyle="1" w:styleId="29">
    <w:name w:val="批注主题 字符"/>
    <w:basedOn w:val="28"/>
    <w:link w:val="5"/>
    <w:semiHidden/>
    <w:qFormat/>
    <w:uiPriority w:val="0"/>
    <w:rPr>
      <w:b/>
      <w:bCs/>
      <w:kern w:val="2"/>
      <w:sz w:val="24"/>
      <w:szCs w:val="22"/>
    </w:rPr>
  </w:style>
  <w:style w:type="paragraph" w:customStyle="1" w:styleId="30">
    <w:name w:val="_Style 3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060F2-0C7F-4C93-B044-4DDDDCBB45EB}">
  <ds:schemaRefs/>
</ds:datastoreItem>
</file>

<file path=customXml/itemProps3.xml><?xml version="1.0" encoding="utf-8"?>
<ds:datastoreItem xmlns:ds="http://schemas.openxmlformats.org/officeDocument/2006/customXml" ds:itemID="{25C6B4A5-E024-4CA6-994C-F34BE0A566EE}">
  <ds:schemaRefs/>
</ds:datastoreItem>
</file>

<file path=customXml/itemProps4.xml><?xml version="1.0" encoding="utf-8"?>
<ds:datastoreItem xmlns:ds="http://schemas.openxmlformats.org/officeDocument/2006/customXml" ds:itemID="{4A53CF13-4CB3-496F-A531-6898E4A2A6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中国中车</Company>
  <Pages>6</Pages>
  <Words>267</Words>
  <Characters>1524</Characters>
  <Lines>12</Lines>
  <Paragraphs>3</Paragraphs>
  <ScaleCrop>false</ScaleCrop>
  <LinksUpToDate>false</LinksUpToDate>
  <CharactersWithSpaces>1788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2016-12-19T06:56:00Z</dcterms:created>
  <dc:creator>方明亮</dc:creator>
  <cp:lastModifiedBy>规划运营部信息员</cp:lastModifiedBy>
  <cp:lastPrinted>2018-12-25T12:06:00Z</cp:lastPrinted>
  <dcterms:modified xsi:type="dcterms:W3CDTF">2020-08-27T06:08:07Z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