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b/>
          <w:bCs/>
          <w:highlight w:val="none"/>
        </w:rPr>
      </w:pPr>
    </w:p>
    <w:p>
      <w:pPr>
        <w:ind w:firstLine="480"/>
        <w:jc w:val="center"/>
        <w:rPr>
          <w:rFonts w:eastAsiaTheme="majorEastAsia" w:cstheme="majorEastAsia"/>
          <w:b/>
          <w:bCs/>
          <w:sz w:val="32"/>
          <w:szCs w:val="32"/>
        </w:rPr>
      </w:pPr>
      <w:bookmarkStart w:id="0" w:name="_Hlk533066311"/>
      <w:bookmarkEnd w:id="0"/>
      <w:r>
        <w:rPr>
          <w:rFonts w:hint="eastAsia"/>
        </w:rPr>
        <w:drawing>
          <wp:anchor distT="0" distB="0" distL="114300" distR="114300" simplePos="0" relativeHeight="251695104" behindDoc="0" locked="0" layoutInCell="1" allowOverlap="1">
            <wp:simplePos x="0" y="0"/>
            <wp:positionH relativeFrom="column">
              <wp:posOffset>57785</wp:posOffset>
            </wp:positionH>
            <wp:positionV relativeFrom="paragraph">
              <wp:posOffset>-338455</wp:posOffset>
            </wp:positionV>
            <wp:extent cx="3375660" cy="481965"/>
            <wp:effectExtent l="0" t="0" r="15240" b="13335"/>
            <wp:wrapNone/>
            <wp:docPr id="7" name="图片 0" descr="C:\Users\wangliwu\Desktop\制度、文件\制度\台州总包部制度\总包部考勤管理办法20190107\苏州中车logo.png苏州中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C:\Users\wangliwu\Desktop\制度、文件\制度\台州总包部制度\总包部考勤管理办法20190107\苏州中车logo.png苏州中车logo"/>
                    <pic:cNvPicPr>
                      <a:picLocks noChangeAspect="1"/>
                    </pic:cNvPicPr>
                  </pic:nvPicPr>
                  <pic:blipFill>
                    <a:blip r:embed="rId11"/>
                    <a:srcRect/>
                    <a:stretch>
                      <a:fillRect/>
                    </a:stretch>
                  </pic:blipFill>
                  <pic:spPr>
                    <a:xfrm>
                      <a:off x="0" y="0"/>
                      <a:ext cx="3375660" cy="481965"/>
                    </a:xfrm>
                    <a:prstGeom prst="rect">
                      <a:avLst/>
                    </a:prstGeom>
                    <a:noFill/>
                    <a:ln w="9525">
                      <a:noFill/>
                    </a:ln>
                    <a:effectLst/>
                  </pic:spPr>
                </pic:pic>
              </a:graphicData>
            </a:graphic>
          </wp:anchor>
        </w:drawing>
      </w:r>
    </w:p>
    <w:p>
      <w:pPr>
        <w:ind w:firstLine="0" w:firstLineChars="0"/>
      </w:pPr>
    </w:p>
    <w:p>
      <w:pPr>
        <w:ind w:firstLine="480"/>
      </w:pPr>
    </w:p>
    <w:p>
      <w:pPr>
        <w:ind w:firstLine="480"/>
        <w:jc w:val="center"/>
      </w:pPr>
    </w:p>
    <w:p>
      <w:pPr>
        <w:spacing w:line="240" w:lineRule="auto"/>
        <w:ind w:firstLine="0" w:firstLineChars="0"/>
        <w:jc w:val="center"/>
        <w:rPr>
          <w:rFonts w:ascii="宋体" w:hAnsi="宋体" w:eastAsia="宋体" w:cs="宋体"/>
          <w:b/>
          <w:bCs/>
          <w:sz w:val="56"/>
          <w:szCs w:val="56"/>
          <w:highlight w:val="none"/>
        </w:rPr>
      </w:pPr>
      <w:bookmarkStart w:id="10" w:name="_GoBack"/>
      <w:r>
        <w:rPr>
          <w:rFonts w:hint="eastAsia" w:ascii="宋体" w:hAnsi="宋体" w:eastAsia="宋体" w:cs="宋体"/>
          <w:b/>
          <w:bCs/>
          <w:sz w:val="56"/>
          <w:szCs w:val="56"/>
          <w:highlight w:val="none"/>
        </w:rPr>
        <w:t>台州</w:t>
      </w:r>
      <w:r>
        <w:rPr>
          <w:rFonts w:ascii="宋体" w:hAnsi="宋体" w:eastAsia="宋体" w:cs="宋体"/>
          <w:b/>
          <w:bCs/>
          <w:sz w:val="56"/>
          <w:szCs w:val="56"/>
          <w:highlight w:val="none"/>
        </w:rPr>
        <w:t>市域铁路S1</w:t>
      </w:r>
      <w:r>
        <w:rPr>
          <w:rFonts w:hint="eastAsia" w:ascii="宋体" w:hAnsi="宋体" w:eastAsia="宋体" w:cs="宋体"/>
          <w:b/>
          <w:bCs/>
          <w:sz w:val="56"/>
          <w:szCs w:val="56"/>
          <w:highlight w:val="none"/>
        </w:rPr>
        <w:t>线一期工程</w:t>
      </w:r>
    </w:p>
    <w:p>
      <w:pPr>
        <w:ind w:firstLine="0" w:firstLineChars="0"/>
        <w:jc w:val="center"/>
        <w:rPr>
          <w:b/>
          <w:bCs/>
          <w:sz w:val="40"/>
          <w:szCs w:val="48"/>
        </w:rPr>
      </w:pPr>
      <w:r>
        <w:rPr>
          <w:rFonts w:hint="eastAsia" w:ascii="宋体" w:hAnsi="宋体" w:eastAsia="宋体" w:cs="宋体"/>
          <w:b/>
          <w:bCs/>
          <w:sz w:val="56"/>
          <w:szCs w:val="56"/>
          <w:highlight w:val="none"/>
        </w:rPr>
        <w:t>转序移交管理办法</w:t>
      </w:r>
    </w:p>
    <w:bookmarkEnd w:id="10"/>
    <w:p>
      <w:pPr>
        <w:ind w:firstLine="0" w:firstLineChars="0"/>
        <w:jc w:val="center"/>
        <w:rPr>
          <w:b/>
          <w:bCs/>
          <w:sz w:val="40"/>
          <w:szCs w:val="48"/>
        </w:rPr>
      </w:pPr>
      <w:r>
        <w:rPr>
          <w:rFonts w:hint="eastAsia" w:eastAsiaTheme="majorEastAsia" w:cstheme="majorEastAsia"/>
          <w:bCs/>
          <w:szCs w:val="30"/>
        </w:rPr>
        <w:drawing>
          <wp:inline distT="0" distB="0" distL="114300" distR="114300">
            <wp:extent cx="4663440" cy="1790065"/>
            <wp:effectExtent l="0" t="0" r="3810" b="0"/>
            <wp:docPr id="8" name="图片 2" descr="封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封面图标"/>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663440" cy="1790065"/>
                    </a:xfrm>
                    <a:prstGeom prst="rect">
                      <a:avLst/>
                    </a:prstGeom>
                    <a:noFill/>
                    <a:ln>
                      <a:noFill/>
                    </a:ln>
                    <a:effectLst/>
                  </pic:spPr>
                </pic:pic>
              </a:graphicData>
            </a:graphic>
          </wp:inline>
        </w:drawing>
      </w:r>
    </w:p>
    <w:p>
      <w:pPr>
        <w:ind w:firstLine="0" w:firstLineChars="0"/>
        <w:rPr>
          <w:rFonts w:hAnsiTheme="majorEastAsia" w:eastAsiaTheme="majorEastAsia" w:cstheme="majorEastAsia"/>
          <w:bCs/>
          <w:sz w:val="32"/>
          <w:szCs w:val="32"/>
        </w:rPr>
      </w:pPr>
    </w:p>
    <w:tbl>
      <w:tblPr>
        <w:tblStyle w:val="25"/>
        <w:tblW w:w="766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3"/>
        <w:gridCol w:w="1175"/>
        <w:gridCol w:w="1250"/>
        <w:gridCol w:w="1187"/>
        <w:gridCol w:w="1600"/>
        <w:gridCol w:w="1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63" w:type="dxa"/>
            <w:vAlign w:val="center"/>
          </w:tcPr>
          <w:p>
            <w:pPr>
              <w:widowControl/>
              <w:ind w:firstLine="0" w:firstLineChars="0"/>
              <w:jc w:val="center"/>
              <w:rPr>
                <w:rFonts w:eastAsia="宋体"/>
                <w:b/>
                <w:bCs/>
              </w:rPr>
            </w:pPr>
            <w:r>
              <w:rPr>
                <w:rFonts w:eastAsia="宋体"/>
                <w:b/>
                <w:bCs/>
              </w:rPr>
              <w:br w:type="page"/>
            </w:r>
            <w:r>
              <w:rPr>
                <w:rFonts w:eastAsia="宋体"/>
                <w:b/>
                <w:bCs/>
              </w:rPr>
              <w:t>版本</w:t>
            </w:r>
          </w:p>
        </w:tc>
        <w:tc>
          <w:tcPr>
            <w:tcW w:w="1175" w:type="dxa"/>
            <w:vAlign w:val="center"/>
          </w:tcPr>
          <w:p>
            <w:pPr>
              <w:widowControl/>
              <w:ind w:firstLine="0" w:firstLineChars="0"/>
              <w:jc w:val="center"/>
              <w:rPr>
                <w:rFonts w:eastAsia="宋体"/>
                <w:b/>
                <w:bCs/>
              </w:rPr>
            </w:pPr>
            <w:r>
              <w:rPr>
                <w:rFonts w:eastAsia="宋体"/>
                <w:b/>
                <w:bCs/>
              </w:rPr>
              <w:t>编制</w:t>
            </w:r>
          </w:p>
        </w:tc>
        <w:tc>
          <w:tcPr>
            <w:tcW w:w="1250" w:type="dxa"/>
            <w:vAlign w:val="center"/>
          </w:tcPr>
          <w:p>
            <w:pPr>
              <w:widowControl/>
              <w:ind w:firstLine="0" w:firstLineChars="0"/>
              <w:jc w:val="center"/>
              <w:rPr>
                <w:rFonts w:eastAsia="宋体"/>
                <w:b/>
                <w:bCs/>
              </w:rPr>
            </w:pPr>
            <w:r>
              <w:rPr>
                <w:rFonts w:eastAsia="宋体"/>
                <w:b/>
                <w:bCs/>
              </w:rPr>
              <w:t>审核</w:t>
            </w:r>
          </w:p>
        </w:tc>
        <w:tc>
          <w:tcPr>
            <w:tcW w:w="1187" w:type="dxa"/>
            <w:vAlign w:val="center"/>
          </w:tcPr>
          <w:p>
            <w:pPr>
              <w:widowControl/>
              <w:ind w:firstLine="0" w:firstLineChars="0"/>
              <w:jc w:val="center"/>
              <w:rPr>
                <w:rFonts w:eastAsia="宋体"/>
                <w:b/>
                <w:bCs/>
              </w:rPr>
            </w:pPr>
            <w:r>
              <w:rPr>
                <w:rFonts w:eastAsia="宋体"/>
                <w:b/>
                <w:bCs/>
              </w:rPr>
              <w:t>审批</w:t>
            </w:r>
          </w:p>
        </w:tc>
        <w:tc>
          <w:tcPr>
            <w:tcW w:w="1600" w:type="dxa"/>
            <w:vAlign w:val="center"/>
          </w:tcPr>
          <w:p>
            <w:pPr>
              <w:widowControl/>
              <w:ind w:firstLine="0" w:firstLineChars="0"/>
              <w:jc w:val="center"/>
              <w:rPr>
                <w:rFonts w:eastAsia="宋体"/>
                <w:b/>
                <w:bCs/>
              </w:rPr>
            </w:pPr>
            <w:r>
              <w:rPr>
                <w:rFonts w:eastAsia="宋体"/>
                <w:b/>
                <w:bCs/>
              </w:rPr>
              <w:t>发布日期</w:t>
            </w:r>
          </w:p>
        </w:tc>
        <w:tc>
          <w:tcPr>
            <w:tcW w:w="1691" w:type="dxa"/>
            <w:vAlign w:val="center"/>
          </w:tcPr>
          <w:p>
            <w:pPr>
              <w:widowControl/>
              <w:ind w:firstLine="0" w:firstLineChars="0"/>
              <w:jc w:val="center"/>
              <w:rPr>
                <w:rFonts w:eastAsia="宋体"/>
                <w:b/>
                <w:bCs/>
              </w:rPr>
            </w:pPr>
            <w:r>
              <w:rPr>
                <w:rFonts w:eastAsia="宋体"/>
                <w:b/>
                <w:bCs/>
              </w:rPr>
              <w:t>实施日期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63" w:type="dxa"/>
            <w:vAlign w:val="center"/>
          </w:tcPr>
          <w:p>
            <w:pPr>
              <w:widowControl/>
              <w:ind w:firstLine="0" w:firstLineChars="0"/>
              <w:jc w:val="center"/>
              <w:rPr>
                <w:rFonts w:eastAsia="宋体"/>
                <w:b/>
                <w:bCs/>
              </w:rPr>
            </w:pPr>
            <w:r>
              <w:rPr>
                <w:rFonts w:eastAsia="宋体"/>
              </w:rPr>
              <w:t>V</w:t>
            </w:r>
            <w:r>
              <w:rPr>
                <w:rFonts w:hint="eastAsia" w:eastAsia="宋体"/>
                <w:lang w:val="en-US" w:eastAsia="zh-CN"/>
              </w:rPr>
              <w:t>1</w:t>
            </w:r>
            <w:r>
              <w:rPr>
                <w:rFonts w:eastAsia="宋体"/>
              </w:rPr>
              <w:t>.0</w:t>
            </w:r>
          </w:p>
        </w:tc>
        <w:tc>
          <w:tcPr>
            <w:tcW w:w="1175" w:type="dxa"/>
            <w:vAlign w:val="center"/>
          </w:tcPr>
          <w:p>
            <w:pPr>
              <w:widowControl/>
              <w:ind w:firstLine="0" w:firstLineChars="0"/>
              <w:jc w:val="center"/>
              <w:rPr>
                <w:rFonts w:hint="eastAsia" w:eastAsia="宋体"/>
              </w:rPr>
            </w:pPr>
            <w:r>
              <w:rPr>
                <w:rFonts w:hint="eastAsia" w:eastAsia="宋体"/>
              </w:rPr>
              <w:t>孙昳天</w:t>
            </w:r>
          </w:p>
        </w:tc>
        <w:tc>
          <w:tcPr>
            <w:tcW w:w="1250" w:type="dxa"/>
            <w:vAlign w:val="center"/>
          </w:tcPr>
          <w:p>
            <w:pPr>
              <w:widowControl/>
              <w:ind w:firstLine="0" w:firstLineChars="0"/>
              <w:jc w:val="center"/>
              <w:rPr>
                <w:rFonts w:hint="eastAsia" w:eastAsia="宋体"/>
                <w:lang w:val="en-US" w:eastAsia="zh-CN"/>
              </w:rPr>
            </w:pPr>
            <w:r>
              <w:rPr>
                <w:rFonts w:hint="eastAsia" w:eastAsia="宋体"/>
                <w:lang w:val="en-US" w:eastAsia="zh-CN"/>
              </w:rPr>
              <w:t>袁建华</w:t>
            </w:r>
            <w:r>
              <w:rPr>
                <w:rFonts w:hint="eastAsia" w:eastAsia="宋体"/>
                <w:lang w:val="en-US" w:eastAsia="zh-CN"/>
              </w:rPr>
              <w:t xml:space="preserve"> 朱月钦</w:t>
            </w:r>
          </w:p>
        </w:tc>
        <w:tc>
          <w:tcPr>
            <w:tcW w:w="1187" w:type="dxa"/>
            <w:vAlign w:val="center"/>
          </w:tcPr>
          <w:p>
            <w:pPr>
              <w:widowControl/>
              <w:ind w:firstLine="0" w:firstLineChars="0"/>
              <w:jc w:val="center"/>
              <w:rPr>
                <w:rFonts w:hint="eastAsia" w:eastAsia="宋体"/>
                <w:lang w:val="en-US" w:eastAsia="zh-CN"/>
              </w:rPr>
            </w:pPr>
            <w:r>
              <w:rPr>
                <w:rFonts w:hint="eastAsia" w:eastAsia="宋体"/>
                <w:lang w:val="en-US" w:eastAsia="zh-CN"/>
              </w:rPr>
              <w:t>朱春柏</w:t>
            </w:r>
          </w:p>
        </w:tc>
        <w:tc>
          <w:tcPr>
            <w:tcW w:w="1600" w:type="dxa"/>
            <w:vAlign w:val="center"/>
          </w:tcPr>
          <w:p>
            <w:pPr>
              <w:widowControl/>
              <w:ind w:firstLine="0" w:firstLineChars="0"/>
              <w:jc w:val="center"/>
              <w:rPr>
                <w:rFonts w:hint="eastAsia" w:eastAsia="宋体"/>
                <w:lang w:val="en-US" w:eastAsia="zh-CN"/>
              </w:rPr>
            </w:pPr>
          </w:p>
        </w:tc>
        <w:tc>
          <w:tcPr>
            <w:tcW w:w="1691" w:type="dxa"/>
            <w:vAlign w:val="center"/>
          </w:tcPr>
          <w:p>
            <w:pPr>
              <w:widowControl/>
              <w:ind w:firstLine="0" w:firstLineChars="0"/>
              <w:jc w:val="center"/>
              <w:rPr>
                <w:rFonts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63" w:type="dxa"/>
            <w:vAlign w:val="center"/>
          </w:tcPr>
          <w:p>
            <w:pPr>
              <w:widowControl/>
              <w:ind w:firstLine="482"/>
              <w:jc w:val="center"/>
              <w:rPr>
                <w:rFonts w:eastAsia="宋体"/>
                <w:b/>
                <w:bCs/>
              </w:rPr>
            </w:pPr>
          </w:p>
        </w:tc>
        <w:tc>
          <w:tcPr>
            <w:tcW w:w="1175" w:type="dxa"/>
            <w:vAlign w:val="center"/>
          </w:tcPr>
          <w:p>
            <w:pPr>
              <w:widowControl/>
              <w:ind w:firstLine="482"/>
              <w:jc w:val="center"/>
              <w:rPr>
                <w:rFonts w:eastAsia="宋体"/>
                <w:b/>
                <w:bCs/>
              </w:rPr>
            </w:pPr>
          </w:p>
        </w:tc>
        <w:tc>
          <w:tcPr>
            <w:tcW w:w="1250" w:type="dxa"/>
            <w:vAlign w:val="center"/>
          </w:tcPr>
          <w:p>
            <w:pPr>
              <w:widowControl/>
              <w:ind w:firstLine="482"/>
              <w:jc w:val="center"/>
              <w:rPr>
                <w:rFonts w:eastAsia="宋体"/>
                <w:b/>
                <w:bCs/>
              </w:rPr>
            </w:pPr>
          </w:p>
        </w:tc>
        <w:tc>
          <w:tcPr>
            <w:tcW w:w="1187" w:type="dxa"/>
            <w:vAlign w:val="center"/>
          </w:tcPr>
          <w:p>
            <w:pPr>
              <w:widowControl/>
              <w:ind w:firstLine="482"/>
              <w:jc w:val="center"/>
              <w:rPr>
                <w:rFonts w:eastAsia="宋体"/>
                <w:b/>
                <w:bCs/>
              </w:rPr>
            </w:pPr>
          </w:p>
        </w:tc>
        <w:tc>
          <w:tcPr>
            <w:tcW w:w="1600" w:type="dxa"/>
            <w:vAlign w:val="center"/>
          </w:tcPr>
          <w:p>
            <w:pPr>
              <w:widowControl/>
              <w:ind w:firstLine="482"/>
              <w:jc w:val="center"/>
              <w:rPr>
                <w:rFonts w:eastAsia="宋体"/>
                <w:b/>
                <w:bCs/>
              </w:rPr>
            </w:pPr>
          </w:p>
        </w:tc>
        <w:tc>
          <w:tcPr>
            <w:tcW w:w="1691" w:type="dxa"/>
            <w:vAlign w:val="center"/>
          </w:tcPr>
          <w:p>
            <w:pPr>
              <w:widowControl/>
              <w:ind w:firstLine="482"/>
              <w:jc w:val="center"/>
              <w:rPr>
                <w:rFonts w:eastAsia="宋体"/>
                <w:b/>
                <w:bCs/>
              </w:rPr>
            </w:pPr>
          </w:p>
        </w:tc>
      </w:tr>
    </w:tbl>
    <w:p>
      <w:pPr>
        <w:ind w:firstLine="0" w:firstLineChars="0"/>
        <w:rPr>
          <w:rFonts w:hAnsiTheme="majorEastAsia" w:eastAsiaTheme="majorEastAsia" w:cstheme="majorEastAsia"/>
          <w:bCs/>
          <w:sz w:val="32"/>
          <w:szCs w:val="32"/>
        </w:rPr>
      </w:pPr>
    </w:p>
    <w:p>
      <w:pPr>
        <w:ind w:firstLine="640"/>
        <w:jc w:val="center"/>
        <w:rPr>
          <w:rFonts w:hAnsiTheme="majorEastAsia" w:eastAsiaTheme="majorEastAsia" w:cstheme="majorEastAsia"/>
          <w:bCs/>
          <w:sz w:val="32"/>
          <w:szCs w:val="32"/>
        </w:rPr>
      </w:pPr>
    </w:p>
    <w:p>
      <w:pPr>
        <w:ind w:firstLine="640"/>
        <w:jc w:val="center"/>
        <w:rPr>
          <w:rFonts w:eastAsiaTheme="majorEastAsia" w:cstheme="majorEastAsia"/>
          <w:bCs/>
          <w:sz w:val="32"/>
          <w:szCs w:val="32"/>
        </w:rPr>
      </w:pPr>
      <w:r>
        <w:rPr>
          <w:rFonts w:hint="eastAsia" w:hAnsiTheme="majorEastAsia" w:eastAsiaTheme="majorEastAsia" w:cstheme="majorEastAsia"/>
          <w:bCs/>
          <w:sz w:val="32"/>
          <w:szCs w:val="32"/>
        </w:rPr>
        <w:t>苏州中车建设工程有限公司</w:t>
      </w:r>
    </w:p>
    <w:p>
      <w:pPr>
        <w:ind w:firstLine="640"/>
        <w:jc w:val="center"/>
        <w:rPr>
          <w:rFonts w:hAnsiTheme="majorEastAsia" w:eastAsiaTheme="majorEastAsia" w:cstheme="majorEastAsia"/>
          <w:bCs/>
          <w:sz w:val="32"/>
          <w:szCs w:val="32"/>
        </w:rPr>
      </w:pPr>
      <w:r>
        <w:rPr>
          <w:rFonts w:hint="eastAsia" w:hAnsiTheme="majorEastAsia" w:eastAsiaTheme="majorEastAsia" w:cstheme="majorEastAsia"/>
          <w:bCs/>
          <w:sz w:val="32"/>
          <w:szCs w:val="32"/>
        </w:rPr>
        <w:t>台州市域铁路S1线一期PPP项目工程总承包项目部</w:t>
      </w:r>
    </w:p>
    <w:p>
      <w:pPr>
        <w:ind w:firstLine="640"/>
        <w:jc w:val="center"/>
        <w:rPr>
          <w:rFonts w:hAnsiTheme="majorEastAsia" w:eastAsiaTheme="majorEastAsia" w:cstheme="majorEastAsia"/>
          <w:bCs/>
          <w:sz w:val="32"/>
          <w:szCs w:val="32"/>
        </w:rPr>
      </w:pPr>
      <w:r>
        <w:rPr>
          <w:rFonts w:hint="eastAsia" w:hAnsiTheme="majorEastAsia" w:eastAsiaTheme="majorEastAsia" w:cstheme="majorEastAsia"/>
          <w:bCs/>
          <w:sz w:val="32"/>
          <w:szCs w:val="32"/>
        </w:rPr>
        <w:t>二〇二〇年</w:t>
      </w:r>
      <w:r>
        <w:rPr>
          <w:rFonts w:hint="eastAsia" w:hAnsiTheme="majorEastAsia" w:eastAsiaTheme="majorEastAsia" w:cstheme="majorEastAsia"/>
          <w:bCs/>
          <w:sz w:val="32"/>
          <w:szCs w:val="32"/>
          <w:lang w:eastAsia="zh-CN"/>
        </w:rPr>
        <w:t>十</w:t>
      </w:r>
      <w:r>
        <w:rPr>
          <w:rFonts w:hint="eastAsia" w:hAnsiTheme="majorEastAsia" w:eastAsiaTheme="majorEastAsia" w:cstheme="majorEastAsia"/>
          <w:bCs/>
          <w:sz w:val="32"/>
          <w:szCs w:val="32"/>
        </w:rPr>
        <w:t>月</w:t>
      </w:r>
      <w:r>
        <w:rPr>
          <w:rFonts w:hint="eastAsia" w:hAnsiTheme="majorEastAsia" w:eastAsiaTheme="majorEastAsia" w:cstheme="majorEastAsia"/>
          <w:bCs/>
          <w:sz w:val="32"/>
          <w:szCs w:val="32"/>
          <w:lang w:eastAsia="zh-CN"/>
        </w:rPr>
        <w:t>十二</w:t>
      </w:r>
      <w:r>
        <w:rPr>
          <w:rFonts w:hint="eastAsia" w:hAnsiTheme="majorEastAsia" w:eastAsiaTheme="majorEastAsia" w:cstheme="majorEastAsia"/>
          <w:bCs/>
          <w:sz w:val="32"/>
          <w:szCs w:val="32"/>
        </w:rPr>
        <w:t>日</w:t>
      </w:r>
    </w:p>
    <w:p>
      <w:pPr>
        <w:ind w:firstLine="0" w:firstLineChars="0"/>
        <w:rPr>
          <w:rFonts w:ascii="Times New Roman" w:hAnsi="Times New Roman" w:eastAsia="宋体" w:cs="Times New Roman"/>
          <w:b/>
          <w:bCs/>
          <w:sz w:val="28"/>
          <w:szCs w:val="24"/>
          <w:highlight w:val="none"/>
        </w:rPr>
        <w:sectPr>
          <w:headerReference r:id="rId6" w:type="first"/>
          <w:footerReference r:id="rId9" w:type="first"/>
          <w:headerReference r:id="rId4" w:type="default"/>
          <w:footerReference r:id="rId7" w:type="default"/>
          <w:headerReference r:id="rId5" w:type="even"/>
          <w:footerReference r:id="rId8" w:type="even"/>
          <w:pgSz w:w="11906" w:h="16838"/>
          <w:pgMar w:top="1440" w:right="1588" w:bottom="1440" w:left="1797" w:header="851" w:footer="992" w:gutter="0"/>
          <w:cols w:space="425" w:num="1"/>
          <w:docGrid w:type="lines" w:linePitch="312" w:charSpace="0"/>
        </w:sectPr>
      </w:pPr>
    </w:p>
    <w:sdt>
      <w:sdtPr>
        <w:rPr>
          <w:rFonts w:asciiTheme="minorHAnsi" w:hAnsiTheme="minorHAnsi" w:eastAsiaTheme="minorEastAsia" w:cstheme="minorBidi"/>
          <w:b w:val="0"/>
          <w:bCs w:val="0"/>
          <w:color w:val="auto"/>
          <w:kern w:val="2"/>
          <w:sz w:val="24"/>
          <w:szCs w:val="22"/>
          <w:highlight w:val="none"/>
          <w:lang w:val="zh-CN"/>
        </w:rPr>
        <w:id w:val="1776437531"/>
      </w:sdtPr>
      <w:sdtEndPr>
        <w:rPr>
          <w:rFonts w:asciiTheme="minorHAnsi" w:hAnsiTheme="minorHAnsi" w:eastAsiaTheme="minorEastAsia" w:cstheme="minorBidi"/>
          <w:b w:val="0"/>
          <w:bCs w:val="0"/>
          <w:color w:val="auto"/>
          <w:kern w:val="2"/>
          <w:sz w:val="24"/>
          <w:szCs w:val="22"/>
          <w:highlight w:val="none"/>
          <w:lang w:val="zh-CN"/>
        </w:rPr>
      </w:sdtEndPr>
      <w:sdtContent>
        <w:p>
          <w:pPr>
            <w:pStyle w:val="36"/>
            <w:ind w:firstLine="480"/>
            <w:jc w:val="center"/>
            <w:rPr>
              <w:color w:val="auto"/>
              <w:highlight w:val="none"/>
            </w:rPr>
          </w:pPr>
          <w:r>
            <w:rPr>
              <w:color w:val="auto"/>
              <w:highlight w:val="none"/>
              <w:lang w:val="zh-CN"/>
            </w:rPr>
            <w:t>目录</w:t>
          </w:r>
        </w:p>
        <w:p>
          <w:pPr>
            <w:pStyle w:val="16"/>
            <w:tabs>
              <w:tab w:val="right" w:leader="dot" w:pos="8306"/>
            </w:tabs>
            <w:rPr>
              <w:rFonts w:hint="eastAsia" w:asciiTheme="majorEastAsia" w:hAnsiTheme="majorEastAsia" w:eastAsiaTheme="majorEastAsia" w:cstheme="majorEastAsia"/>
              <w:b w:val="0"/>
              <w:bCs w:val="0"/>
              <w:sz w:val="24"/>
              <w:szCs w:val="24"/>
            </w:rPr>
          </w:pPr>
          <w:r>
            <w:rPr>
              <w:highlight w:val="none"/>
            </w:rPr>
            <w:fldChar w:fldCharType="begin"/>
          </w:r>
          <w:r>
            <w:rPr>
              <w:highlight w:val="none"/>
            </w:rPr>
            <w:instrText xml:space="preserve"> TOC \o "1-3" \h \z \u </w:instrText>
          </w:r>
          <w:r>
            <w:rPr>
              <w:highlight w:val="none"/>
            </w:rPr>
            <w:fldChar w:fldCharType="separate"/>
          </w: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"_Toc15545901"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第一章  总则</w:t>
          </w:r>
          <w:r>
            <w:rPr>
              <w:rFonts w:hint="eastAsia" w:asciiTheme="majorEastAsia" w:hAnsiTheme="majorEastAsia" w:eastAsiaTheme="majorEastAsia" w:cstheme="majorEastAsia"/>
              <w:b w:val="0"/>
              <w:bCs w:val="0"/>
              <w:sz w:val="24"/>
              <w:szCs w:val="24"/>
            </w:rPr>
            <w:tab/>
          </w: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PAGEREF _Toc15545901 \h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3</w:t>
          </w:r>
          <w:r>
            <w:rPr>
              <w:rFonts w:hint="eastAsia" w:asciiTheme="majorEastAsia" w:hAnsiTheme="majorEastAsia" w:eastAsiaTheme="majorEastAsia" w:cstheme="majorEastAsia"/>
              <w:b w:val="0"/>
              <w:bCs w:val="0"/>
              <w:sz w:val="24"/>
              <w:szCs w:val="24"/>
            </w:rPr>
            <w:fldChar w:fldCharType="end"/>
          </w:r>
          <w:r>
            <w:rPr>
              <w:rFonts w:hint="eastAsia" w:asciiTheme="majorEastAsia" w:hAnsiTheme="majorEastAsia" w:eastAsiaTheme="majorEastAsia" w:cstheme="majorEastAsia"/>
              <w:b w:val="0"/>
              <w:bCs w:val="0"/>
              <w:sz w:val="24"/>
              <w:szCs w:val="24"/>
            </w:rPr>
            <w:fldChar w:fldCharType="end"/>
          </w:r>
        </w:p>
        <w:p>
          <w:pPr>
            <w:pStyle w:val="16"/>
            <w:tabs>
              <w:tab w:val="right" w:leader="dot" w:pos="8306"/>
            </w:tabs>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"_Toc15545902"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第二章  转序移交条件</w:t>
          </w:r>
          <w:r>
            <w:rPr>
              <w:rFonts w:hint="eastAsia" w:asciiTheme="majorEastAsia" w:hAnsiTheme="majorEastAsia" w:eastAsiaTheme="majorEastAsia" w:cstheme="majorEastAsia"/>
              <w:b w:val="0"/>
              <w:bCs w:val="0"/>
              <w:sz w:val="24"/>
              <w:szCs w:val="24"/>
            </w:rPr>
            <w:tab/>
          </w: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PAGEREF _Toc15545902 \h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4</w:t>
          </w:r>
          <w:r>
            <w:rPr>
              <w:rFonts w:hint="eastAsia" w:asciiTheme="majorEastAsia" w:hAnsiTheme="majorEastAsia" w:eastAsiaTheme="majorEastAsia" w:cstheme="majorEastAsia"/>
              <w:b w:val="0"/>
              <w:bCs w:val="0"/>
              <w:sz w:val="24"/>
              <w:szCs w:val="24"/>
            </w:rPr>
            <w:fldChar w:fldCharType="end"/>
          </w:r>
          <w:r>
            <w:rPr>
              <w:rFonts w:hint="eastAsia" w:asciiTheme="majorEastAsia" w:hAnsiTheme="majorEastAsia" w:eastAsiaTheme="majorEastAsia" w:cstheme="majorEastAsia"/>
              <w:b w:val="0"/>
              <w:bCs w:val="0"/>
              <w:sz w:val="24"/>
              <w:szCs w:val="24"/>
            </w:rPr>
            <w:fldChar w:fldCharType="end"/>
          </w:r>
        </w:p>
        <w:p>
          <w:pPr>
            <w:pStyle w:val="16"/>
            <w:tabs>
              <w:tab w:val="right" w:leader="dot" w:pos="8306"/>
            </w:tabs>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"_Toc15545903"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第三章  转序移交前准备工作要求</w:t>
          </w:r>
          <w:r>
            <w:rPr>
              <w:rFonts w:hint="eastAsia" w:asciiTheme="majorEastAsia" w:hAnsiTheme="majorEastAsia" w:eastAsiaTheme="majorEastAsia" w:cstheme="majorEastAsia"/>
              <w:b w:val="0"/>
              <w:bCs w:val="0"/>
              <w:sz w:val="24"/>
              <w:szCs w:val="24"/>
            </w:rPr>
            <w:tab/>
          </w: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PAGEREF _Toc15545903 \h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5</w:t>
          </w:r>
          <w:r>
            <w:rPr>
              <w:rFonts w:hint="eastAsia" w:asciiTheme="majorEastAsia" w:hAnsiTheme="majorEastAsia" w:eastAsiaTheme="majorEastAsia" w:cstheme="majorEastAsia"/>
              <w:b w:val="0"/>
              <w:bCs w:val="0"/>
              <w:sz w:val="24"/>
              <w:szCs w:val="24"/>
            </w:rPr>
            <w:fldChar w:fldCharType="end"/>
          </w:r>
          <w:r>
            <w:rPr>
              <w:rFonts w:hint="eastAsia" w:asciiTheme="majorEastAsia" w:hAnsiTheme="majorEastAsia" w:eastAsiaTheme="majorEastAsia" w:cstheme="majorEastAsia"/>
              <w:b w:val="0"/>
              <w:bCs w:val="0"/>
              <w:sz w:val="24"/>
              <w:szCs w:val="24"/>
            </w:rPr>
            <w:fldChar w:fldCharType="end"/>
          </w:r>
        </w:p>
        <w:p>
          <w:pPr>
            <w:pStyle w:val="16"/>
            <w:tabs>
              <w:tab w:val="right" w:leader="dot" w:pos="8306"/>
            </w:tabs>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"_Toc15545904"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第四章  转序移交组织工作</w:t>
          </w:r>
          <w:r>
            <w:rPr>
              <w:rFonts w:hint="eastAsia" w:asciiTheme="majorEastAsia" w:hAnsiTheme="majorEastAsia" w:eastAsiaTheme="majorEastAsia" w:cstheme="majorEastAsia"/>
              <w:b w:val="0"/>
              <w:bCs w:val="0"/>
              <w:sz w:val="24"/>
              <w:szCs w:val="24"/>
            </w:rPr>
            <w:tab/>
          </w: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PAGEREF _Toc15545904 \h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5</w:t>
          </w:r>
          <w:r>
            <w:rPr>
              <w:rFonts w:hint="eastAsia" w:asciiTheme="majorEastAsia" w:hAnsiTheme="majorEastAsia" w:eastAsiaTheme="majorEastAsia" w:cstheme="majorEastAsia"/>
              <w:b w:val="0"/>
              <w:bCs w:val="0"/>
              <w:sz w:val="24"/>
              <w:szCs w:val="24"/>
            </w:rPr>
            <w:fldChar w:fldCharType="end"/>
          </w:r>
          <w:r>
            <w:rPr>
              <w:rFonts w:hint="eastAsia" w:asciiTheme="majorEastAsia" w:hAnsiTheme="majorEastAsia" w:eastAsiaTheme="majorEastAsia" w:cstheme="majorEastAsia"/>
              <w:b w:val="0"/>
              <w:bCs w:val="0"/>
              <w:sz w:val="24"/>
              <w:szCs w:val="24"/>
            </w:rPr>
            <w:fldChar w:fldCharType="end"/>
          </w:r>
        </w:p>
        <w:p>
          <w:pPr>
            <w:pStyle w:val="16"/>
            <w:tabs>
              <w:tab w:val="right" w:leader="dot" w:pos="8306"/>
            </w:tabs>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"_Toc15545905"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第五章  转序移交程序</w:t>
          </w:r>
          <w:r>
            <w:rPr>
              <w:rFonts w:hint="eastAsia" w:asciiTheme="majorEastAsia" w:hAnsiTheme="majorEastAsia" w:eastAsiaTheme="majorEastAsia" w:cstheme="majorEastAsia"/>
              <w:b w:val="0"/>
              <w:bCs w:val="0"/>
              <w:sz w:val="24"/>
              <w:szCs w:val="24"/>
            </w:rPr>
            <w:tab/>
          </w: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PAGEREF _Toc15545905 \h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5</w:t>
          </w:r>
          <w:r>
            <w:rPr>
              <w:rFonts w:hint="eastAsia" w:asciiTheme="majorEastAsia" w:hAnsiTheme="majorEastAsia" w:eastAsiaTheme="majorEastAsia" w:cstheme="majorEastAsia"/>
              <w:b w:val="0"/>
              <w:bCs w:val="0"/>
              <w:sz w:val="24"/>
              <w:szCs w:val="24"/>
            </w:rPr>
            <w:fldChar w:fldCharType="end"/>
          </w:r>
          <w:r>
            <w:rPr>
              <w:rFonts w:hint="eastAsia" w:asciiTheme="majorEastAsia" w:hAnsiTheme="majorEastAsia" w:eastAsiaTheme="majorEastAsia" w:cstheme="majorEastAsia"/>
              <w:b w:val="0"/>
              <w:bCs w:val="0"/>
              <w:sz w:val="24"/>
              <w:szCs w:val="24"/>
            </w:rPr>
            <w:fldChar w:fldCharType="end"/>
          </w:r>
        </w:p>
        <w:p>
          <w:pPr>
            <w:pStyle w:val="16"/>
            <w:tabs>
              <w:tab w:val="right" w:leader="dot" w:pos="8306"/>
            </w:tabs>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"_Toc15545906"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第六章  转序移交后管理要求</w:t>
          </w:r>
          <w:r>
            <w:rPr>
              <w:rFonts w:hint="eastAsia" w:asciiTheme="majorEastAsia" w:hAnsiTheme="majorEastAsia" w:eastAsiaTheme="majorEastAsia" w:cstheme="majorEastAsia"/>
              <w:b w:val="0"/>
              <w:bCs w:val="0"/>
              <w:sz w:val="24"/>
              <w:szCs w:val="24"/>
            </w:rPr>
            <w:tab/>
          </w: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PAGEREF _Toc15545906 \h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6</w:t>
          </w:r>
          <w:r>
            <w:rPr>
              <w:rFonts w:hint="eastAsia" w:asciiTheme="majorEastAsia" w:hAnsiTheme="majorEastAsia" w:eastAsiaTheme="majorEastAsia" w:cstheme="majorEastAsia"/>
              <w:b w:val="0"/>
              <w:bCs w:val="0"/>
              <w:sz w:val="24"/>
              <w:szCs w:val="24"/>
            </w:rPr>
            <w:fldChar w:fldCharType="end"/>
          </w:r>
          <w:r>
            <w:rPr>
              <w:rFonts w:hint="eastAsia" w:asciiTheme="majorEastAsia" w:hAnsiTheme="majorEastAsia" w:eastAsiaTheme="majorEastAsia" w:cstheme="majorEastAsia"/>
              <w:b w:val="0"/>
              <w:bCs w:val="0"/>
              <w:sz w:val="24"/>
              <w:szCs w:val="24"/>
            </w:rPr>
            <w:fldChar w:fldCharType="end"/>
          </w:r>
        </w:p>
        <w:p>
          <w:pPr>
            <w:pStyle w:val="16"/>
            <w:tabs>
              <w:tab w:val="right" w:leader="dot" w:pos="8306"/>
            </w:tabs>
            <w:rPr>
              <w:rStyle w:val="22"/>
              <w:sz w:val="24"/>
              <w:szCs w:val="24"/>
              <w:highlight w:val="none"/>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"_Toc15545907"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第七章  附则</w:t>
          </w:r>
          <w:r>
            <w:rPr>
              <w:rFonts w:hint="eastAsia" w:asciiTheme="majorEastAsia" w:hAnsiTheme="majorEastAsia" w:eastAsiaTheme="majorEastAsia" w:cstheme="majorEastAsia"/>
              <w:b w:val="0"/>
              <w:bCs w:val="0"/>
              <w:sz w:val="24"/>
              <w:szCs w:val="24"/>
            </w:rPr>
            <w:tab/>
          </w: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PAGEREF _Toc15545907 \h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6</w:t>
          </w:r>
          <w:r>
            <w:rPr>
              <w:rFonts w:hint="eastAsia" w:asciiTheme="majorEastAsia" w:hAnsiTheme="majorEastAsia" w:eastAsiaTheme="majorEastAsia" w:cstheme="majorEastAsia"/>
              <w:b w:val="0"/>
              <w:bCs w:val="0"/>
              <w:sz w:val="24"/>
              <w:szCs w:val="24"/>
            </w:rPr>
            <w:fldChar w:fldCharType="end"/>
          </w:r>
          <w:r>
            <w:rPr>
              <w:rFonts w:hint="eastAsia" w:asciiTheme="majorEastAsia" w:hAnsiTheme="majorEastAsia" w:eastAsiaTheme="majorEastAsia" w:cstheme="majorEastAsia"/>
              <w:b w:val="0"/>
              <w:bCs w:val="0"/>
              <w:sz w:val="24"/>
              <w:szCs w:val="24"/>
            </w:rPr>
            <w:fldChar w:fldCharType="end"/>
          </w:r>
        </w:p>
        <w:p>
          <w:pPr>
            <w:ind w:firstLine="482"/>
            <w:rPr>
              <w:highlight w:val="none"/>
            </w:rPr>
          </w:pPr>
          <w:r>
            <w:rPr>
              <w:b/>
              <w:bCs/>
              <w:highlight w:val="none"/>
              <w:lang w:val="zh-CN"/>
            </w:rPr>
            <w:fldChar w:fldCharType="end"/>
          </w:r>
        </w:p>
      </w:sdtContent>
    </w:sdt>
    <w:p>
      <w:pPr>
        <w:ind w:firstLine="0" w:firstLineChars="0"/>
        <w:rPr>
          <w:rFonts w:ascii="Times New Roman" w:hAnsi="Times New Roman" w:eastAsia="宋体" w:cs="Times New Roman"/>
          <w:b/>
          <w:bCs/>
          <w:sz w:val="28"/>
          <w:szCs w:val="24"/>
          <w:highlight w:val="none"/>
        </w:rPr>
      </w:pPr>
    </w:p>
    <w:p>
      <w:pPr>
        <w:ind w:firstLine="0" w:firstLineChars="0"/>
        <w:rPr>
          <w:rFonts w:ascii="Times New Roman" w:hAnsi="Times New Roman" w:eastAsia="宋体" w:cs="Times New Roman"/>
          <w:b/>
          <w:bCs/>
          <w:sz w:val="28"/>
          <w:szCs w:val="24"/>
          <w:highlight w:val="none"/>
        </w:rPr>
      </w:pPr>
      <w:r>
        <w:rPr>
          <w:rFonts w:ascii="Times New Roman" w:hAnsi="Times New Roman" w:eastAsia="宋体" w:cs="Times New Roman"/>
          <w:b/>
          <w:bCs/>
          <w:sz w:val="28"/>
          <w:szCs w:val="24"/>
          <w:highlight w:val="none"/>
        </w:rPr>
        <w:br w:type="page"/>
      </w:r>
    </w:p>
    <w:p>
      <w:pPr>
        <w:pStyle w:val="3"/>
        <w:spacing w:after="120" w:line="360" w:lineRule="auto"/>
        <w:ind w:firstLine="0" w:firstLineChars="0"/>
        <w:rPr>
          <w:highlight w:val="none"/>
        </w:rPr>
      </w:pPr>
      <w:bookmarkStart w:id="1" w:name="_Toc15545901"/>
      <w:bookmarkStart w:id="2" w:name="_Toc404685617"/>
      <w:bookmarkStart w:id="3" w:name="_Toc351528918"/>
      <w:r>
        <w:rPr>
          <w:rFonts w:hint="eastAsia"/>
          <w:highlight w:val="none"/>
        </w:rPr>
        <w:t>第一章  总则</w:t>
      </w:r>
      <w:bookmarkEnd w:id="1"/>
    </w:p>
    <w:p>
      <w:pPr>
        <w:ind w:firstLine="482"/>
        <w:rPr>
          <w:b/>
          <w:bCs/>
          <w:highlight w:val="none"/>
        </w:rPr>
      </w:pPr>
      <w:r>
        <w:rPr>
          <w:rFonts w:hint="eastAsia"/>
          <w:b/>
          <w:bCs/>
          <w:highlight w:val="none"/>
        </w:rPr>
        <w:t xml:space="preserve">第一条 </w:t>
      </w:r>
      <w:r>
        <w:rPr>
          <w:rFonts w:hint="eastAsia"/>
          <w:bCs/>
          <w:highlight w:val="none"/>
        </w:rPr>
        <w:t>为进一步明确土建结构工程向轨道安装、装饰装修、机电及系统设备安装、人防等工程的工序转换程序，在保证工程质量及施工安全前提下，科学组织工程施工，有序推进工程建设，特制定本办法。</w:t>
      </w:r>
    </w:p>
    <w:p>
      <w:pPr>
        <w:ind w:firstLine="482"/>
        <w:rPr>
          <w:b/>
          <w:bCs/>
          <w:highlight w:val="none"/>
        </w:rPr>
      </w:pPr>
      <w:r>
        <w:rPr>
          <w:rFonts w:hint="eastAsia"/>
          <w:b/>
          <w:bCs/>
          <w:highlight w:val="none"/>
        </w:rPr>
        <w:t xml:space="preserve">第二条 </w:t>
      </w:r>
      <w:r>
        <w:rPr>
          <w:rFonts w:hint="eastAsia"/>
          <w:bCs/>
          <w:highlight w:val="none"/>
        </w:rPr>
        <w:t>编制依据</w:t>
      </w:r>
    </w:p>
    <w:p>
      <w:pPr>
        <w:ind w:firstLine="480"/>
        <w:rPr>
          <w:highlight w:val="none"/>
        </w:rPr>
      </w:pPr>
      <w:r>
        <w:rPr>
          <w:rFonts w:hint="eastAsia"/>
          <w:highlight w:val="none"/>
        </w:rPr>
        <w:t>（一）台州市域铁路S1线一期工程《台州市域铁路S1线一期PPP项目合同》总工期的要求；</w:t>
      </w:r>
    </w:p>
    <w:p>
      <w:pPr>
        <w:ind w:firstLine="480"/>
        <w:rPr>
          <w:highlight w:val="none"/>
        </w:rPr>
      </w:pPr>
      <w:r>
        <w:rPr>
          <w:rFonts w:hint="eastAsia"/>
          <w:highlight w:val="none"/>
        </w:rPr>
        <w:t>（二）台州市域铁路S1线一期工程《台州市域铁路S1线一期PPP项目工程总承包合同》总工期的要求；</w:t>
      </w:r>
    </w:p>
    <w:p>
      <w:pPr>
        <w:ind w:firstLine="482"/>
        <w:rPr>
          <w:highlight w:val="none"/>
        </w:rPr>
      </w:pPr>
      <w:r>
        <w:rPr>
          <w:rFonts w:hint="eastAsia"/>
          <w:b/>
          <w:highlight w:val="none"/>
        </w:rPr>
        <w:t>第三条</w:t>
      </w:r>
      <w:r>
        <w:rPr>
          <w:rFonts w:hint="eastAsia"/>
          <w:highlight w:val="none"/>
        </w:rPr>
        <w:t xml:space="preserve"> 本办法所称相关术语的定义</w:t>
      </w:r>
    </w:p>
    <w:p>
      <w:pPr>
        <w:ind w:firstLine="480"/>
        <w:rPr>
          <w:highlight w:val="none"/>
        </w:rPr>
      </w:pPr>
      <w:r>
        <w:rPr>
          <w:rFonts w:hint="eastAsia"/>
          <w:highlight w:val="none"/>
        </w:rPr>
        <w:t>（一）转序移交：是指土建结构等前序工程基本完成后，由</w:t>
      </w:r>
      <w:r>
        <w:rPr>
          <w:rFonts w:hint="eastAsia"/>
          <w:highlight w:val="none"/>
          <w:lang w:eastAsia="zh-CN"/>
        </w:rPr>
        <w:t>总包部</w:t>
      </w:r>
      <w:r>
        <w:rPr>
          <w:rFonts w:hint="eastAsia"/>
          <w:highlight w:val="none"/>
        </w:rPr>
        <w:t>组织参建相关单位对施工现场是否可以移交并转入轨道安装、装饰装修、机电及系统设备安装、人防工程等后续工程施工所进行的一项专项检查和确认工作。</w:t>
      </w:r>
    </w:p>
    <w:p>
      <w:pPr>
        <w:ind w:firstLine="480"/>
        <w:rPr>
          <w:highlight w:val="none"/>
        </w:rPr>
      </w:pPr>
      <w:r>
        <w:rPr>
          <w:rFonts w:hint="eastAsia"/>
          <w:highlight w:val="none"/>
        </w:rPr>
        <w:t>（二）移交单位：是指土建等前序工程的施工单位。</w:t>
      </w:r>
    </w:p>
    <w:p>
      <w:pPr>
        <w:ind w:firstLine="480"/>
        <w:rPr>
          <w:highlight w:val="none"/>
        </w:rPr>
      </w:pPr>
      <w:r>
        <w:rPr>
          <w:rFonts w:hint="eastAsia"/>
          <w:highlight w:val="none"/>
        </w:rPr>
        <w:t>（三）接收单位：是指轨道安装、装饰装修、机电及系统设备安装、人防等后续工程的施工单位。</w:t>
      </w:r>
    </w:p>
    <w:p>
      <w:pPr>
        <w:ind w:firstLine="482"/>
        <w:rPr>
          <w:highlight w:val="none"/>
        </w:rPr>
      </w:pPr>
      <w:r>
        <w:rPr>
          <w:rFonts w:hint="eastAsia"/>
          <w:b/>
          <w:highlight w:val="none"/>
        </w:rPr>
        <w:t>第四条</w:t>
      </w:r>
      <w:r>
        <w:rPr>
          <w:rFonts w:hint="eastAsia"/>
          <w:highlight w:val="none"/>
        </w:rPr>
        <w:t xml:space="preserve"> 本办法适用于台州市域铁路S1线一期工程土建等前序工程转入轨道安装、装饰装修、机电及系统设备安装、人防等后续工程的施工移交管理工作。</w:t>
      </w:r>
    </w:p>
    <w:p>
      <w:pPr>
        <w:ind w:firstLine="482"/>
        <w:rPr>
          <w:highlight w:val="none"/>
        </w:rPr>
      </w:pPr>
      <w:r>
        <w:rPr>
          <w:rFonts w:hint="eastAsia"/>
          <w:b/>
          <w:highlight w:val="none"/>
        </w:rPr>
        <w:t>第五条</w:t>
      </w:r>
      <w:r>
        <w:rPr>
          <w:rFonts w:hint="eastAsia"/>
          <w:highlight w:val="none"/>
        </w:rPr>
        <w:t xml:space="preserve"> 转序移交总体要求</w:t>
      </w:r>
    </w:p>
    <w:p>
      <w:pPr>
        <w:ind w:firstLine="480"/>
        <w:rPr>
          <w:rFonts w:hint="eastAsia"/>
          <w:highlight w:val="none"/>
        </w:rPr>
      </w:pPr>
      <w:r>
        <w:rPr>
          <w:rFonts w:hint="eastAsia"/>
          <w:highlight w:val="none"/>
        </w:rPr>
        <w:t>（一）分部工程验收条件具备后，应及时组织验收。分部工程验收通过的，应及时移交并转入下道工序的施工。但转序移交不能替代分部工程验收。</w:t>
      </w:r>
    </w:p>
    <w:p>
      <w:pPr>
        <w:ind w:firstLine="480"/>
        <w:rPr>
          <w:highlight w:val="none"/>
        </w:rPr>
      </w:pPr>
      <w:r>
        <w:rPr>
          <w:rFonts w:hint="eastAsia"/>
          <w:highlight w:val="none"/>
          <w:lang w:eastAsia="zh-CN"/>
        </w:rPr>
        <w:t>（二）</w:t>
      </w:r>
      <w:r>
        <w:rPr>
          <w:rFonts w:hint="eastAsia"/>
          <w:highlight w:val="none"/>
        </w:rPr>
        <w:t>受个别分项工程影响无法完成分部工程验收的，但具备本办法第二章转序移交条件的应按照本办法相关要求进行转序检查、确认。</w:t>
      </w:r>
    </w:p>
    <w:p>
      <w:pPr>
        <w:ind w:firstLine="480"/>
        <w:rPr>
          <w:highlight w:val="none"/>
        </w:rPr>
      </w:pPr>
      <w:r>
        <w:rPr>
          <w:rFonts w:hint="eastAsia"/>
          <w:highlight w:val="none"/>
        </w:rPr>
        <w:t>（</w:t>
      </w:r>
      <w:r>
        <w:rPr>
          <w:rFonts w:hint="eastAsia"/>
          <w:highlight w:val="none"/>
          <w:lang w:eastAsia="zh-CN"/>
        </w:rPr>
        <w:t>三</w:t>
      </w:r>
      <w:r>
        <w:rPr>
          <w:rFonts w:hint="eastAsia"/>
          <w:highlight w:val="none"/>
        </w:rPr>
        <w:t>）原则上，车站按主体结构、区间按完整的区段（含明挖、暗挖及高架）、车辆段按每个单体、附属结构按分部工程为单元进行转序移交。遇到特殊情况，由</w:t>
      </w:r>
      <w:r>
        <w:rPr>
          <w:rFonts w:hint="eastAsia"/>
          <w:highlight w:val="none"/>
          <w:lang w:val="en-US" w:eastAsia="zh-CN"/>
        </w:rPr>
        <w:t>业主</w:t>
      </w:r>
      <w:r>
        <w:rPr>
          <w:rFonts w:hint="eastAsia"/>
          <w:highlight w:val="none"/>
        </w:rPr>
        <w:t>组织</w:t>
      </w:r>
      <w:r>
        <w:rPr>
          <w:rFonts w:hint="eastAsia"/>
          <w:highlight w:val="none"/>
          <w:lang w:eastAsia="zh-CN"/>
        </w:rPr>
        <w:t>各方</w:t>
      </w:r>
      <w:r>
        <w:rPr>
          <w:rFonts w:hint="eastAsia"/>
          <w:highlight w:val="none"/>
        </w:rPr>
        <w:t>开专题会确定划分单元，进行分段、分步或按功能区进行转序移交。</w:t>
      </w:r>
    </w:p>
    <w:p>
      <w:pPr>
        <w:ind w:firstLine="480"/>
        <w:rPr>
          <w:highlight w:val="none"/>
        </w:rPr>
      </w:pPr>
      <w:r>
        <w:rPr>
          <w:rFonts w:hint="eastAsia"/>
          <w:highlight w:val="none"/>
        </w:rPr>
        <w:t>（</w:t>
      </w:r>
      <w:r>
        <w:rPr>
          <w:rFonts w:hint="eastAsia"/>
          <w:highlight w:val="none"/>
          <w:lang w:eastAsia="zh-CN"/>
        </w:rPr>
        <w:t>四</w:t>
      </w:r>
      <w:r>
        <w:rPr>
          <w:rFonts w:hint="eastAsia"/>
          <w:highlight w:val="none"/>
        </w:rPr>
        <w:t>）应按照本办法规定认真组织转序移交工作，并做好清单记录，明确移交单位、接收单位的管理界面、管理责任。</w:t>
      </w:r>
    </w:p>
    <w:p>
      <w:pPr>
        <w:ind w:firstLine="480"/>
        <w:rPr>
          <w:highlight w:val="none"/>
        </w:rPr>
      </w:pPr>
      <w:r>
        <w:rPr>
          <w:rFonts w:hint="eastAsia"/>
          <w:highlight w:val="none"/>
        </w:rPr>
        <w:t>（</w:t>
      </w:r>
      <w:r>
        <w:rPr>
          <w:rFonts w:hint="eastAsia"/>
          <w:highlight w:val="none"/>
          <w:lang w:eastAsia="zh-CN"/>
        </w:rPr>
        <w:t>五</w:t>
      </w:r>
      <w:r>
        <w:rPr>
          <w:rFonts w:hint="eastAsia"/>
          <w:highlight w:val="none"/>
        </w:rPr>
        <w:t>）转序移交不是施工承包合同有关质量主体责任的移交。针对工程质量问题，严格按“谁施工、谁负责”的原则办理。</w:t>
      </w:r>
    </w:p>
    <w:p>
      <w:pPr>
        <w:pStyle w:val="3"/>
        <w:spacing w:after="120" w:line="360" w:lineRule="auto"/>
        <w:ind w:firstLine="0" w:firstLineChars="0"/>
        <w:rPr>
          <w:highlight w:val="none"/>
        </w:rPr>
      </w:pPr>
      <w:bookmarkStart w:id="4" w:name="_Toc15545902"/>
      <w:r>
        <w:rPr>
          <w:rFonts w:hint="eastAsia"/>
          <w:highlight w:val="none"/>
        </w:rPr>
        <w:t>第二章  转序移交条件</w:t>
      </w:r>
      <w:bookmarkEnd w:id="4"/>
    </w:p>
    <w:p>
      <w:pPr>
        <w:ind w:firstLine="482"/>
        <w:rPr>
          <w:highlight w:val="none"/>
        </w:rPr>
      </w:pPr>
      <w:r>
        <w:rPr>
          <w:rFonts w:hint="eastAsia"/>
          <w:b/>
          <w:highlight w:val="none"/>
        </w:rPr>
        <w:t>第六条</w:t>
      </w:r>
      <w:r>
        <w:rPr>
          <w:rFonts w:hint="eastAsia"/>
          <w:highlight w:val="none"/>
        </w:rPr>
        <w:t xml:space="preserve"> 现场条件</w:t>
      </w:r>
    </w:p>
    <w:p>
      <w:pPr>
        <w:ind w:firstLine="480"/>
        <w:rPr>
          <w:highlight w:val="none"/>
        </w:rPr>
      </w:pPr>
      <w:r>
        <w:rPr>
          <w:rFonts w:hint="eastAsia"/>
          <w:highlight w:val="none"/>
        </w:rPr>
        <w:t>（一）主体结构工程已完工，结构尺寸、净空、断面测量满足设计要求；</w:t>
      </w:r>
    </w:p>
    <w:p>
      <w:pPr>
        <w:ind w:firstLine="480"/>
        <w:rPr>
          <w:highlight w:val="none"/>
        </w:rPr>
      </w:pPr>
      <w:r>
        <w:rPr>
          <w:rFonts w:hint="eastAsia"/>
          <w:highlight w:val="none"/>
        </w:rPr>
        <w:t>（二）工程结构监测数据稳定，满足设计、施工控制相关参数的控制指标要求；</w:t>
      </w:r>
    </w:p>
    <w:p>
      <w:pPr>
        <w:ind w:firstLine="480"/>
        <w:rPr>
          <w:highlight w:val="none"/>
        </w:rPr>
      </w:pPr>
      <w:r>
        <w:rPr>
          <w:rFonts w:hint="eastAsia"/>
          <w:highlight w:val="none"/>
        </w:rPr>
        <w:t>（三）工程结构防水等级符合要求，其中：涉及铺轨作业的暗挖车站、区间主体结构防水等级符合设计及施工验收规范要求；涉及装饰装修、设备安装的结构工程防水等级符合设计及施工验收规范要求；</w:t>
      </w:r>
    </w:p>
    <w:p>
      <w:pPr>
        <w:ind w:firstLine="480"/>
        <w:rPr>
          <w:highlight w:val="none"/>
        </w:rPr>
      </w:pPr>
      <w:r>
        <w:rPr>
          <w:rFonts w:hint="eastAsia"/>
          <w:highlight w:val="none"/>
        </w:rPr>
        <w:t>（四）预埋件、预留孔洞、预埋管满足设计要求；</w:t>
      </w:r>
    </w:p>
    <w:p>
      <w:pPr>
        <w:ind w:firstLine="480"/>
        <w:rPr>
          <w:highlight w:val="none"/>
        </w:rPr>
      </w:pPr>
      <w:r>
        <w:rPr>
          <w:rFonts w:hint="eastAsia"/>
          <w:highlight w:val="none"/>
        </w:rPr>
        <w:t>（五）在进行轨道安装转序移交前，轨行区贯通测量及调坡调线已完成，断面测量满足设计限界要求，且有设计单位出具的书面意见；</w:t>
      </w:r>
    </w:p>
    <w:p>
      <w:pPr>
        <w:ind w:firstLine="480"/>
        <w:rPr>
          <w:highlight w:val="none"/>
        </w:rPr>
      </w:pPr>
      <w:r>
        <w:rPr>
          <w:rFonts w:hint="eastAsia"/>
          <w:highlight w:val="none"/>
        </w:rPr>
        <w:t>（六）建筑垃圾、泥浆、剩余材料等已全部清除移交区域，现场应冲洗干净，不得有积水现象。</w:t>
      </w:r>
    </w:p>
    <w:p>
      <w:pPr>
        <w:ind w:firstLine="480"/>
        <w:rPr>
          <w:rFonts w:hint="eastAsia"/>
          <w:highlight w:val="none"/>
        </w:rPr>
      </w:pPr>
      <w:r>
        <w:rPr>
          <w:rFonts w:hint="eastAsia"/>
          <w:b/>
          <w:highlight w:val="none"/>
        </w:rPr>
        <w:t>第七条</w:t>
      </w:r>
      <w:r>
        <w:rPr>
          <w:rFonts w:hint="eastAsia"/>
          <w:highlight w:val="none"/>
        </w:rPr>
        <w:t xml:space="preserve">  内业资料（用于查验）</w:t>
      </w:r>
    </w:p>
    <w:p>
      <w:pPr>
        <w:ind w:firstLine="480"/>
        <w:rPr>
          <w:rFonts w:hint="eastAsia"/>
          <w:highlight w:val="none"/>
        </w:rPr>
      </w:pPr>
      <w:r>
        <w:rPr>
          <w:rFonts w:hint="eastAsia"/>
          <w:highlight w:val="none"/>
        </w:rPr>
        <w:t>所移交的工程实体应具有以下真实、完整的相关质量证明文件和资料供检查组检查确认：</w:t>
      </w:r>
    </w:p>
    <w:p>
      <w:pPr>
        <w:ind w:firstLine="480"/>
        <w:rPr>
          <w:rFonts w:hint="eastAsia"/>
          <w:highlight w:val="none"/>
        </w:rPr>
      </w:pPr>
      <w:r>
        <w:rPr>
          <w:rFonts w:hint="eastAsia"/>
          <w:highlight w:val="none"/>
        </w:rPr>
        <w:t>（一）移交单位应提供相应工程验收资料，其他各专业及参会方需要的相关资料。</w:t>
      </w:r>
    </w:p>
    <w:p>
      <w:pPr>
        <w:ind w:firstLine="480"/>
        <w:rPr>
          <w:rFonts w:hint="eastAsia"/>
          <w:highlight w:val="none"/>
        </w:rPr>
      </w:pPr>
      <w:r>
        <w:rPr>
          <w:rFonts w:hint="eastAsia"/>
          <w:highlight w:val="none"/>
        </w:rPr>
        <w:t>（二）第三方质量检测单位应出具相关的实体工程质量检测报告。</w:t>
      </w:r>
    </w:p>
    <w:p>
      <w:pPr>
        <w:ind w:firstLine="480"/>
        <w:rPr>
          <w:rFonts w:hint="eastAsia"/>
          <w:highlight w:val="none"/>
        </w:rPr>
      </w:pPr>
      <w:r>
        <w:rPr>
          <w:rFonts w:hint="eastAsia"/>
          <w:highlight w:val="none"/>
        </w:rPr>
        <w:t>（三）第三方监测单位应出具相关的监测报告。</w:t>
      </w:r>
    </w:p>
    <w:p>
      <w:pPr>
        <w:pStyle w:val="3"/>
        <w:spacing w:after="120" w:line="360" w:lineRule="auto"/>
        <w:ind w:firstLine="0" w:firstLineChars="0"/>
        <w:rPr>
          <w:highlight w:val="none"/>
        </w:rPr>
      </w:pPr>
      <w:bookmarkStart w:id="5" w:name="_Toc15545903"/>
      <w:r>
        <w:rPr>
          <w:rFonts w:hint="eastAsia"/>
          <w:highlight w:val="none"/>
        </w:rPr>
        <w:t>第三章  转序移交前准备工作要求</w:t>
      </w:r>
      <w:bookmarkEnd w:id="5"/>
    </w:p>
    <w:p>
      <w:pPr>
        <w:widowControl/>
        <w:spacing w:after="156"/>
        <w:ind w:firstLine="480" w:firstLineChars="0"/>
        <w:jc w:val="left"/>
        <w:rPr>
          <w:highlight w:val="none"/>
        </w:rPr>
      </w:pPr>
      <w:r>
        <w:rPr>
          <w:rFonts w:hint="eastAsia"/>
          <w:b/>
          <w:highlight w:val="none"/>
        </w:rPr>
        <w:t>第八条</w:t>
      </w:r>
      <w:r>
        <w:rPr>
          <w:rFonts w:hint="eastAsia"/>
          <w:highlight w:val="none"/>
        </w:rPr>
        <w:t xml:space="preserve"> </w:t>
      </w:r>
      <w:commentRangeStart w:id="0"/>
      <w:r>
        <w:rPr>
          <w:rFonts w:hint="eastAsia"/>
          <w:highlight w:val="none"/>
          <w:lang w:eastAsia="zh-CN"/>
        </w:rPr>
        <w:t>总包部</w:t>
      </w:r>
      <w:r>
        <w:rPr>
          <w:rFonts w:hint="eastAsia"/>
          <w:highlight w:val="none"/>
        </w:rPr>
        <w:t>应根据项目总体策划，结合现场实际进展情况，制定《转序移交工作计划》</w:t>
      </w:r>
      <w:commentRangeEnd w:id="0"/>
      <w:r>
        <w:commentReference w:id="0"/>
      </w:r>
      <w:r>
        <w:rPr>
          <w:rFonts w:hint="eastAsia"/>
          <w:highlight w:val="none"/>
        </w:rPr>
        <w:t>，按转序移交单元，明确各项准备工作的时间要求。移交单位、接收单位要按《转序移交工作计划》做好各项准备工作。</w:t>
      </w:r>
    </w:p>
    <w:p>
      <w:pPr>
        <w:widowControl/>
        <w:spacing w:after="156"/>
        <w:ind w:firstLine="480" w:firstLineChars="0"/>
        <w:jc w:val="left"/>
        <w:rPr>
          <w:highlight w:val="none"/>
        </w:rPr>
      </w:pPr>
      <w:r>
        <w:rPr>
          <w:rFonts w:hint="eastAsia"/>
          <w:b/>
          <w:highlight w:val="none"/>
        </w:rPr>
        <w:t>第九条</w:t>
      </w:r>
      <w:r>
        <w:rPr>
          <w:rFonts w:hint="eastAsia"/>
          <w:highlight w:val="none"/>
        </w:rPr>
        <w:t xml:space="preserve"> 土建等前序工程完工后，移交单位应及时邀请接收单位、监理</w:t>
      </w:r>
      <w:r>
        <w:rPr>
          <w:rFonts w:hint="eastAsia"/>
          <w:highlight w:val="none"/>
          <w:lang w:val="en-US" w:eastAsia="zh-CN"/>
        </w:rPr>
        <w:t>单位</w:t>
      </w:r>
      <w:r>
        <w:rPr>
          <w:rFonts w:hint="eastAsia"/>
          <w:highlight w:val="none"/>
        </w:rPr>
        <w:t>、</w:t>
      </w:r>
      <w:r>
        <w:rPr>
          <w:rFonts w:hint="eastAsia"/>
          <w:highlight w:val="none"/>
          <w:lang w:eastAsia="zh-CN"/>
        </w:rPr>
        <w:t>总包部</w:t>
      </w:r>
      <w:r>
        <w:rPr>
          <w:rFonts w:hint="eastAsia"/>
          <w:highlight w:val="none"/>
        </w:rPr>
        <w:t>及相关方进行现场质量缺陷检查，并将需整改问题列出清单及整改时间，作为转序移交资料；在不影响安全使用功能的前提下，对计划转序移交前无法及时整改的质量缺陷，应在备注栏中说明，并在转序移交后规定时间内整改完成。</w:t>
      </w:r>
    </w:p>
    <w:p>
      <w:pPr>
        <w:ind w:firstLine="482"/>
        <w:rPr>
          <w:rFonts w:hint="eastAsia"/>
          <w:highlight w:val="none"/>
        </w:rPr>
      </w:pPr>
      <w:r>
        <w:rPr>
          <w:rFonts w:hint="eastAsia"/>
          <w:b/>
          <w:highlight w:val="none"/>
        </w:rPr>
        <w:t>第十条</w:t>
      </w:r>
      <w:r>
        <w:rPr>
          <w:rFonts w:hint="eastAsia"/>
          <w:highlight w:val="none"/>
        </w:rPr>
        <w:t xml:space="preserve"> 移交单位应为检查、检测提供条件，做好现场文明施工，确保现场具备基本的通风与照明条件等。</w:t>
      </w:r>
    </w:p>
    <w:p>
      <w:pPr>
        <w:ind w:firstLine="482"/>
        <w:rPr>
          <w:highlight w:val="none"/>
        </w:rPr>
      </w:pPr>
      <w:r>
        <w:rPr>
          <w:rFonts w:hint="eastAsia"/>
          <w:b/>
          <w:highlight w:val="none"/>
        </w:rPr>
        <w:t>第十一条</w:t>
      </w:r>
      <w:r>
        <w:rPr>
          <w:rFonts w:hint="eastAsia"/>
          <w:highlight w:val="none"/>
        </w:rPr>
        <w:t xml:space="preserve"> 在组织移交前7天，检查各方提供需检验内容及整改问题清单，以备检。</w:t>
      </w:r>
    </w:p>
    <w:p>
      <w:pPr>
        <w:pStyle w:val="3"/>
        <w:spacing w:after="120" w:line="360" w:lineRule="auto"/>
        <w:ind w:firstLine="0" w:firstLineChars="0"/>
        <w:rPr>
          <w:highlight w:val="none"/>
        </w:rPr>
      </w:pPr>
      <w:bookmarkStart w:id="6" w:name="_Toc15545904"/>
      <w:r>
        <w:rPr>
          <w:rFonts w:hint="eastAsia"/>
          <w:highlight w:val="none"/>
        </w:rPr>
        <w:t>第四章  转序移交组织工作</w:t>
      </w:r>
      <w:bookmarkEnd w:id="6"/>
    </w:p>
    <w:p>
      <w:pPr>
        <w:ind w:firstLine="482"/>
        <w:rPr>
          <w:highlight w:val="none"/>
        </w:rPr>
      </w:pPr>
      <w:r>
        <w:rPr>
          <w:rFonts w:hint="eastAsia"/>
          <w:b/>
          <w:highlight w:val="none"/>
        </w:rPr>
        <w:t>第十一条</w:t>
      </w:r>
      <w:r>
        <w:rPr>
          <w:rFonts w:hint="eastAsia"/>
          <w:highlight w:val="none"/>
        </w:rPr>
        <w:t xml:space="preserve"> 按照《转序移交工作计划》，对已具备转序条件，且已做好转序移交前准备工作的，提前7天由移交单位向</w:t>
      </w:r>
      <w:r>
        <w:rPr>
          <w:rFonts w:hint="eastAsia"/>
          <w:highlight w:val="none"/>
          <w:lang w:eastAsia="zh-CN"/>
        </w:rPr>
        <w:t>总包部</w:t>
      </w:r>
      <w:r>
        <w:rPr>
          <w:rFonts w:hint="eastAsia"/>
          <w:highlight w:val="none"/>
        </w:rPr>
        <w:t>申请转序移交。</w:t>
      </w:r>
    </w:p>
    <w:p>
      <w:pPr>
        <w:ind w:firstLine="482"/>
        <w:rPr>
          <w:highlight w:val="none"/>
        </w:rPr>
      </w:pPr>
      <w:r>
        <w:rPr>
          <w:rFonts w:hint="eastAsia"/>
          <w:b/>
          <w:highlight w:val="none"/>
        </w:rPr>
        <w:t>第十四条</w:t>
      </w:r>
      <w:r>
        <w:rPr>
          <w:rFonts w:hint="eastAsia"/>
          <w:highlight w:val="none"/>
        </w:rPr>
        <w:t xml:space="preserve"> </w:t>
      </w:r>
      <w:r>
        <w:rPr>
          <w:rFonts w:hint="eastAsia"/>
          <w:highlight w:val="none"/>
          <w:lang w:eastAsia="zh-CN"/>
        </w:rPr>
        <w:t>总包部</w:t>
      </w:r>
      <w:r>
        <w:rPr>
          <w:rFonts w:hint="eastAsia"/>
          <w:highlight w:val="none"/>
        </w:rPr>
        <w:t>接到转序移交申请后，组织移交单位、接收单位</w:t>
      </w:r>
      <w:r>
        <w:rPr>
          <w:rFonts w:hint="eastAsia"/>
          <w:highlight w:val="none"/>
          <w:lang w:eastAsia="zh-CN"/>
        </w:rPr>
        <w:t>，报请</w:t>
      </w:r>
      <w:r>
        <w:rPr>
          <w:rFonts w:hint="eastAsia"/>
          <w:highlight w:val="none"/>
        </w:rPr>
        <w:t>监理单位及相关方召开转序移交会议。</w:t>
      </w:r>
    </w:p>
    <w:p>
      <w:pPr>
        <w:ind w:firstLine="482"/>
        <w:rPr>
          <w:highlight w:val="none"/>
        </w:rPr>
      </w:pPr>
      <w:r>
        <w:rPr>
          <w:rFonts w:hint="eastAsia"/>
          <w:b/>
          <w:highlight w:val="none"/>
        </w:rPr>
        <w:t>第十五条</w:t>
      </w:r>
      <w:r>
        <w:rPr>
          <w:rFonts w:hint="eastAsia"/>
          <w:highlight w:val="none"/>
        </w:rPr>
        <w:t xml:space="preserve"> </w:t>
      </w:r>
      <w:r>
        <w:rPr>
          <w:rFonts w:hint="eastAsia"/>
          <w:highlight w:val="none"/>
          <w:lang w:eastAsia="zh-CN"/>
        </w:rPr>
        <w:t>总包部</w:t>
      </w:r>
      <w:r>
        <w:rPr>
          <w:rFonts w:hint="eastAsia"/>
          <w:highlight w:val="none"/>
        </w:rPr>
        <w:t>在召开转序移交会议2个工作日前，通知各参会单位。</w:t>
      </w:r>
    </w:p>
    <w:p>
      <w:pPr>
        <w:pStyle w:val="3"/>
        <w:spacing w:after="120" w:line="360" w:lineRule="auto"/>
        <w:ind w:firstLine="0" w:firstLineChars="0"/>
        <w:rPr>
          <w:highlight w:val="none"/>
        </w:rPr>
      </w:pPr>
      <w:bookmarkStart w:id="7" w:name="_Toc15545905"/>
      <w:r>
        <w:rPr>
          <w:rFonts w:hint="eastAsia"/>
          <w:highlight w:val="none"/>
        </w:rPr>
        <w:t>第五章  转序移交程序</w:t>
      </w:r>
      <w:bookmarkEnd w:id="7"/>
    </w:p>
    <w:p>
      <w:pPr>
        <w:ind w:firstLine="482"/>
        <w:rPr>
          <w:highlight w:val="none"/>
        </w:rPr>
      </w:pPr>
      <w:r>
        <w:rPr>
          <w:rFonts w:hint="eastAsia"/>
          <w:b/>
          <w:highlight w:val="none"/>
        </w:rPr>
        <w:t>第十六条</w:t>
      </w:r>
      <w:r>
        <w:rPr>
          <w:rFonts w:hint="eastAsia"/>
          <w:highlight w:val="none"/>
        </w:rPr>
        <w:t xml:space="preserve"> 召开转序移交会议。</w:t>
      </w:r>
    </w:p>
    <w:p>
      <w:pPr>
        <w:ind w:firstLine="480"/>
        <w:rPr>
          <w:highlight w:val="none"/>
        </w:rPr>
      </w:pPr>
      <w:r>
        <w:rPr>
          <w:rFonts w:hint="eastAsia"/>
          <w:highlight w:val="none"/>
        </w:rPr>
        <w:t>（一）现场踏勘；</w:t>
      </w:r>
    </w:p>
    <w:p>
      <w:pPr>
        <w:ind w:firstLine="480"/>
        <w:rPr>
          <w:highlight w:val="none"/>
        </w:rPr>
      </w:pPr>
      <w:r>
        <w:rPr>
          <w:rFonts w:hint="eastAsia"/>
          <w:highlight w:val="none"/>
        </w:rPr>
        <w:t>（二）移交单位汇报转序移交准备情况，发表移交意见；</w:t>
      </w:r>
    </w:p>
    <w:p>
      <w:pPr>
        <w:ind w:firstLine="480"/>
        <w:rPr>
          <w:highlight w:val="none"/>
        </w:rPr>
      </w:pPr>
      <w:r>
        <w:rPr>
          <w:rFonts w:hint="eastAsia"/>
          <w:highlight w:val="none"/>
        </w:rPr>
        <w:t>（三）接收单位发表接收意见；</w:t>
      </w:r>
    </w:p>
    <w:p>
      <w:pPr>
        <w:ind w:firstLine="480"/>
        <w:rPr>
          <w:highlight w:val="none"/>
        </w:rPr>
      </w:pPr>
      <w:r>
        <w:rPr>
          <w:rFonts w:hint="eastAsia"/>
          <w:highlight w:val="none"/>
        </w:rPr>
        <w:t>（四）监理单位根据管理权属发表转序移交意见；</w:t>
      </w:r>
    </w:p>
    <w:p>
      <w:pPr>
        <w:ind w:firstLine="480"/>
        <w:rPr>
          <w:highlight w:val="none"/>
        </w:rPr>
      </w:pPr>
      <w:r>
        <w:rPr>
          <w:rFonts w:hint="eastAsia"/>
          <w:highlight w:val="none"/>
        </w:rPr>
        <w:t>（五）其它参会单位提相关要求；</w:t>
      </w:r>
    </w:p>
    <w:p>
      <w:pPr>
        <w:ind w:firstLine="480"/>
        <w:rPr>
          <w:highlight w:val="none"/>
        </w:rPr>
      </w:pPr>
      <w:r>
        <w:rPr>
          <w:rFonts w:hint="eastAsia"/>
          <w:highlight w:val="none"/>
        </w:rPr>
        <w:t>（六）项目公司相关部门提相关要求；</w:t>
      </w:r>
    </w:p>
    <w:p>
      <w:pPr>
        <w:ind w:firstLine="480"/>
        <w:rPr>
          <w:highlight w:val="none"/>
        </w:rPr>
      </w:pPr>
      <w:r>
        <w:rPr>
          <w:rFonts w:hint="eastAsia"/>
          <w:highlight w:val="none"/>
        </w:rPr>
        <w:t>（七）</w:t>
      </w:r>
      <w:r>
        <w:rPr>
          <w:rFonts w:hint="eastAsia"/>
          <w:highlight w:val="none"/>
          <w:lang w:eastAsia="zh-CN"/>
        </w:rPr>
        <w:t>总包部</w:t>
      </w:r>
      <w:r>
        <w:rPr>
          <w:rFonts w:hint="eastAsia"/>
          <w:highlight w:val="none"/>
        </w:rPr>
        <w:t>宣布转序移交结论，并出具转序移交会议纪要。</w:t>
      </w:r>
    </w:p>
    <w:p>
      <w:pPr>
        <w:ind w:firstLine="482"/>
        <w:rPr>
          <w:highlight w:val="none"/>
        </w:rPr>
      </w:pPr>
      <w:r>
        <w:rPr>
          <w:rFonts w:hint="eastAsia"/>
          <w:b/>
          <w:highlight w:val="none"/>
        </w:rPr>
        <w:t>第十七条</w:t>
      </w:r>
      <w:r>
        <w:rPr>
          <w:rFonts w:hint="eastAsia"/>
          <w:highlight w:val="none"/>
        </w:rPr>
        <w:t xml:space="preserve"> 根据转序移交会议结论，由移交单位、接收单位、监理单位、</w:t>
      </w:r>
      <w:r>
        <w:rPr>
          <w:rFonts w:hint="eastAsia"/>
          <w:highlight w:val="none"/>
          <w:lang w:eastAsia="zh-CN"/>
        </w:rPr>
        <w:t>总包部</w:t>
      </w:r>
      <w:r>
        <w:rPr>
          <w:rFonts w:hint="eastAsia"/>
          <w:highlight w:val="none"/>
        </w:rPr>
        <w:t>签字盖章确认。其中：转序移交结论为“整改后，同意转序移交”的，直接转序移交，不再重新组织转序移交；转序移交结论为“不同意转序移交”的，由</w:t>
      </w:r>
      <w:r>
        <w:rPr>
          <w:rFonts w:hint="eastAsia"/>
          <w:highlight w:val="none"/>
          <w:lang w:eastAsia="zh-CN"/>
        </w:rPr>
        <w:t>总包部</w:t>
      </w:r>
      <w:r>
        <w:rPr>
          <w:rFonts w:hint="eastAsia"/>
          <w:highlight w:val="none"/>
        </w:rPr>
        <w:t>重新组织转序移交。需整改内容未按时整改完成或拒不整改的，按合同及总包部相关管理办法执行。</w:t>
      </w:r>
    </w:p>
    <w:p>
      <w:pPr>
        <w:pStyle w:val="3"/>
        <w:spacing w:after="120" w:line="360" w:lineRule="auto"/>
        <w:ind w:firstLine="0" w:firstLineChars="0"/>
        <w:rPr>
          <w:highlight w:val="none"/>
        </w:rPr>
      </w:pPr>
      <w:bookmarkStart w:id="8" w:name="_Toc15545906"/>
      <w:r>
        <w:rPr>
          <w:rFonts w:hint="eastAsia"/>
          <w:highlight w:val="none"/>
        </w:rPr>
        <w:t>第六章  转序移交后管理要求</w:t>
      </w:r>
      <w:bookmarkEnd w:id="8"/>
    </w:p>
    <w:p>
      <w:pPr>
        <w:ind w:firstLine="482"/>
        <w:rPr>
          <w:highlight w:val="none"/>
        </w:rPr>
      </w:pPr>
      <w:r>
        <w:rPr>
          <w:rFonts w:hint="eastAsia"/>
          <w:b/>
          <w:highlight w:val="none"/>
        </w:rPr>
        <w:t>第十八条</w:t>
      </w:r>
      <w:r>
        <w:rPr>
          <w:rFonts w:hint="eastAsia"/>
          <w:highlight w:val="none"/>
        </w:rPr>
        <w:t xml:space="preserve"> 轨行区范围内的工程转序移交后，各单位应严格按照</w:t>
      </w:r>
      <w:r>
        <w:rPr>
          <w:rFonts w:hint="eastAsia"/>
          <w:highlight w:val="none"/>
          <w:lang w:eastAsia="zh-CN"/>
        </w:rPr>
        <w:t>总包部</w:t>
      </w:r>
      <w:r>
        <w:rPr>
          <w:rFonts w:hint="eastAsia"/>
          <w:highlight w:val="none"/>
        </w:rPr>
        <w:t>有关轨行区管理办法及实施细则的要求进行管理，确保工程质量和安全。</w:t>
      </w:r>
    </w:p>
    <w:p>
      <w:pPr>
        <w:ind w:firstLine="482"/>
        <w:rPr>
          <w:highlight w:val="none"/>
        </w:rPr>
      </w:pPr>
      <w:r>
        <w:rPr>
          <w:rFonts w:hint="eastAsia"/>
          <w:b/>
          <w:highlight w:val="none"/>
        </w:rPr>
        <w:t>第十九条</w:t>
      </w:r>
      <w:r>
        <w:rPr>
          <w:rFonts w:hint="eastAsia"/>
          <w:highlight w:val="none"/>
        </w:rPr>
        <w:t xml:space="preserve"> 轨行区范围外的工程转序移交后，各单位应严格按照</w:t>
      </w:r>
      <w:r>
        <w:rPr>
          <w:rFonts w:hint="eastAsia"/>
          <w:highlight w:val="none"/>
          <w:lang w:eastAsia="zh-CN"/>
        </w:rPr>
        <w:t>总包部</w:t>
      </w:r>
      <w:r>
        <w:rPr>
          <w:rFonts w:hint="eastAsia"/>
          <w:highlight w:val="none"/>
        </w:rPr>
        <w:t>有关管理实施细则的要求进行管理，确保工程质量和安全。</w:t>
      </w:r>
    </w:p>
    <w:p>
      <w:pPr>
        <w:pStyle w:val="3"/>
        <w:spacing w:after="120" w:line="360" w:lineRule="auto"/>
        <w:ind w:firstLine="0" w:firstLineChars="0"/>
        <w:rPr>
          <w:highlight w:val="none"/>
        </w:rPr>
      </w:pPr>
      <w:bookmarkStart w:id="9" w:name="_Toc15545907"/>
      <w:r>
        <w:rPr>
          <w:rFonts w:hint="eastAsia"/>
          <w:highlight w:val="none"/>
        </w:rPr>
        <w:t>第七章  附则</w:t>
      </w:r>
      <w:bookmarkEnd w:id="9"/>
    </w:p>
    <w:p>
      <w:pPr>
        <w:ind w:firstLine="482"/>
        <w:rPr>
          <w:highlight w:val="none"/>
        </w:rPr>
      </w:pPr>
      <w:r>
        <w:rPr>
          <w:rFonts w:hint="eastAsia"/>
          <w:b/>
          <w:highlight w:val="none"/>
        </w:rPr>
        <w:t>第二十条</w:t>
      </w:r>
      <w:r>
        <w:rPr>
          <w:rFonts w:hint="eastAsia"/>
          <w:highlight w:val="none"/>
        </w:rPr>
        <w:t>本办法自发布之日起施行，遇到特殊情况，由</w:t>
      </w:r>
      <w:r>
        <w:rPr>
          <w:rFonts w:hint="eastAsia"/>
          <w:highlight w:val="none"/>
          <w:lang w:eastAsia="zh-CN"/>
        </w:rPr>
        <w:t>总包部</w:t>
      </w:r>
      <w:r>
        <w:rPr>
          <w:rFonts w:hint="eastAsia"/>
          <w:highlight w:val="none"/>
        </w:rPr>
        <w:t>召开专题会研究确定。</w:t>
      </w:r>
    </w:p>
    <w:bookmarkEnd w:id="2"/>
    <w:bookmarkEnd w:id="3"/>
    <w:p>
      <w:pPr>
        <w:widowControl/>
        <w:spacing w:after="156"/>
        <w:ind w:firstLine="0" w:firstLineChars="0"/>
        <w:jc w:val="left"/>
        <w:rPr>
          <w:highlight w:val="none"/>
        </w:rPr>
      </w:pPr>
    </w:p>
    <w:p>
      <w:pPr>
        <w:widowControl/>
        <w:spacing w:after="156"/>
        <w:ind w:firstLine="0" w:firstLineChars="0"/>
        <w:jc w:val="left"/>
        <w:rPr>
          <w:highlight w:val="none"/>
        </w:rPr>
      </w:pPr>
    </w:p>
    <w:p>
      <w:pPr>
        <w:widowControl/>
        <w:spacing w:after="156"/>
        <w:ind w:firstLine="0" w:firstLineChars="0"/>
        <w:jc w:val="left"/>
        <w:rPr>
          <w:highlight w:val="none"/>
        </w:rPr>
      </w:pPr>
    </w:p>
    <w:p>
      <w:pPr>
        <w:widowControl/>
        <w:spacing w:after="156"/>
        <w:ind w:firstLine="0" w:firstLineChars="0"/>
        <w:jc w:val="left"/>
        <w:rPr>
          <w:highlight w:val="none"/>
        </w:rPr>
      </w:pPr>
    </w:p>
    <w:p>
      <w:pPr>
        <w:widowControl/>
        <w:spacing w:after="156"/>
        <w:ind w:firstLine="0" w:firstLineChars="0"/>
        <w:jc w:val="left"/>
        <w:rPr>
          <w:highlight w:val="none"/>
        </w:rPr>
      </w:pPr>
    </w:p>
    <w:p>
      <w:pPr>
        <w:widowControl/>
        <w:spacing w:after="156"/>
        <w:ind w:firstLine="0" w:firstLineChars="0"/>
        <w:jc w:val="left"/>
        <w:rPr>
          <w:highlight w:val="none"/>
        </w:rPr>
      </w:pPr>
    </w:p>
    <w:p>
      <w:pPr>
        <w:widowControl/>
        <w:spacing w:after="156"/>
        <w:ind w:firstLine="0" w:firstLineChars="0"/>
        <w:jc w:val="left"/>
        <w:rPr>
          <w:highlight w:val="none"/>
        </w:rPr>
      </w:pPr>
    </w:p>
    <w:p>
      <w:pPr>
        <w:widowControl/>
        <w:spacing w:after="156"/>
        <w:ind w:firstLine="0" w:firstLineChars="0"/>
        <w:jc w:val="left"/>
        <w:rPr>
          <w:highlight w:val="none"/>
        </w:rPr>
      </w:pPr>
    </w:p>
    <w:p>
      <w:pPr>
        <w:widowControl/>
        <w:spacing w:after="156"/>
        <w:ind w:firstLine="0" w:firstLineChars="0"/>
        <w:jc w:val="left"/>
        <w:rPr>
          <w:highlight w:val="none"/>
        </w:rPr>
      </w:pPr>
    </w:p>
    <w:p>
      <w:pPr>
        <w:widowControl/>
        <w:spacing w:after="156"/>
        <w:ind w:firstLine="0" w:firstLineChars="0"/>
        <w:jc w:val="left"/>
        <w:rPr>
          <w:highlight w:val="none"/>
        </w:rPr>
      </w:pPr>
    </w:p>
    <w:p>
      <w:pPr>
        <w:widowControl/>
        <w:spacing w:after="156"/>
        <w:ind w:firstLine="0" w:firstLineChars="0"/>
        <w:jc w:val="left"/>
        <w:rPr>
          <w:highlight w:val="none"/>
        </w:rPr>
      </w:pPr>
    </w:p>
    <w:p>
      <w:pPr>
        <w:widowControl/>
        <w:spacing w:after="156"/>
        <w:ind w:firstLine="0" w:firstLineChars="0"/>
        <w:jc w:val="left"/>
        <w:rPr>
          <w:highlight w:val="none"/>
        </w:rPr>
      </w:pPr>
    </w:p>
    <w:p>
      <w:pPr>
        <w:widowControl/>
        <w:spacing w:after="156"/>
        <w:ind w:firstLine="0" w:firstLineChars="0"/>
        <w:jc w:val="left"/>
        <w:rPr>
          <w:highlight w:val="none"/>
        </w:rPr>
      </w:pPr>
    </w:p>
    <w:p>
      <w:pPr>
        <w:widowControl/>
        <w:spacing w:after="156"/>
        <w:ind w:firstLine="0" w:firstLineChars="0"/>
        <w:jc w:val="left"/>
        <w:rPr>
          <w:highlight w:val="none"/>
        </w:rPr>
      </w:pPr>
    </w:p>
    <w:p>
      <w:pPr>
        <w:widowControl/>
        <w:spacing w:after="156"/>
        <w:ind w:firstLine="0" w:firstLineChars="0"/>
        <w:jc w:val="left"/>
        <w:rPr>
          <w:highlight w:val="none"/>
        </w:rPr>
      </w:pPr>
    </w:p>
    <w:p>
      <w:pPr>
        <w:spacing w:line="360" w:lineRule="auto"/>
        <w:jc w:val="center"/>
        <w:rPr>
          <w:rFonts w:hint="eastAsia" w:ascii="宋体" w:hAnsi="宋体"/>
          <w:b/>
          <w:sz w:val="36"/>
          <w:szCs w:val="36"/>
          <w:lang w:val="en-US" w:eastAsia="zh-CN"/>
        </w:rPr>
      </w:pPr>
      <w:r>
        <w:rPr>
          <w:rFonts w:hint="eastAsia" w:ascii="宋体" w:hAnsi="宋体"/>
          <w:b/>
          <w:sz w:val="36"/>
          <w:szCs w:val="36"/>
          <w:lang w:val="en-US" w:eastAsia="zh-CN"/>
        </w:rPr>
        <w:t>场地移交表</w:t>
      </w:r>
    </w:p>
    <w:p>
      <w:pPr>
        <w:spacing w:line="360" w:lineRule="auto"/>
        <w:ind w:firstLine="210" w:firstLineChars="100"/>
        <w:rPr>
          <w:rFonts w:hint="eastAsia" w:ascii="宋体" w:hAnsi="宋体"/>
          <w:b/>
          <w:sz w:val="36"/>
          <w:szCs w:val="36"/>
          <w:lang w:val="en-US" w:eastAsia="zh-CN"/>
        </w:rPr>
      </w:pPr>
      <w:r>
        <w:rPr>
          <w:rFonts w:hint="eastAsia" w:ascii="宋体" w:hAnsi="宋体"/>
          <w:sz w:val="21"/>
        </w:rPr>
        <w:t>工程名称：</w:t>
      </w:r>
      <w:r>
        <w:rPr>
          <w:rFonts w:hint="eastAsia" w:ascii="宋体" w:hAnsi="宋体" w:eastAsia="宋体"/>
          <w:sz w:val="24"/>
        </w:rPr>
        <w:t>台州市域铁路</w:t>
      </w:r>
      <w:r>
        <w:rPr>
          <w:rFonts w:ascii="宋体" w:hAnsi="宋体" w:eastAsia="宋体"/>
          <w:sz w:val="24"/>
        </w:rPr>
        <w:t>S1线一期PPP项目</w:t>
      </w:r>
      <w:r>
        <w:rPr>
          <w:rFonts w:hint="eastAsia" w:ascii="宋体" w:hAnsi="宋体"/>
          <w:sz w:val="24"/>
          <w:lang w:val="en-US" w:eastAsia="zh-CN"/>
        </w:rPr>
        <w:t xml:space="preserve">工程总承包项目部       </w:t>
      </w:r>
      <w:r>
        <w:rPr>
          <w:rFonts w:hint="eastAsia" w:ascii="宋体" w:hAnsi="宋体"/>
          <w:sz w:val="21"/>
          <w:szCs w:val="21"/>
        </w:rPr>
        <w:t>编</w:t>
      </w:r>
      <w:r>
        <w:rPr>
          <w:rFonts w:ascii="宋体" w:hAnsi="宋体"/>
          <w:sz w:val="21"/>
          <w:szCs w:val="21"/>
        </w:rPr>
        <w:t xml:space="preserve">  </w:t>
      </w:r>
      <w:r>
        <w:rPr>
          <w:rFonts w:hint="eastAsia" w:ascii="宋体" w:hAnsi="宋体"/>
          <w:sz w:val="21"/>
          <w:szCs w:val="21"/>
        </w:rPr>
        <w:t>号：</w:t>
      </w:r>
      <w:r>
        <w:rPr>
          <w:rFonts w:hint="eastAsia" w:ascii="宋体" w:hAnsi="宋体"/>
          <w:sz w:val="21"/>
          <w:szCs w:val="21"/>
          <w:u w:val="single"/>
        </w:rPr>
        <w:t xml:space="preserve">          </w:t>
      </w:r>
    </w:p>
    <w:tbl>
      <w:tblPr>
        <w:tblStyle w:val="24"/>
        <w:tblW w:w="936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544"/>
        <w:gridCol w:w="255"/>
        <w:gridCol w:w="1185"/>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34" w:type="dxa"/>
            <w:vAlign w:val="center"/>
          </w:tcPr>
          <w:p>
            <w:pPr>
              <w:adjustRightInd w:val="0"/>
              <w:snapToGrid w:val="0"/>
              <w:ind w:left="0" w:leftChars="0" w:right="-122" w:rightChars="-51" w:firstLine="0" w:firstLineChars="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总包单位</w:t>
            </w:r>
          </w:p>
        </w:tc>
        <w:tc>
          <w:tcPr>
            <w:tcW w:w="8226" w:type="dxa"/>
            <w:gridSpan w:val="4"/>
            <w:vAlign w:val="center"/>
          </w:tcPr>
          <w:p>
            <w:pPr>
              <w:jc w:val="center"/>
              <w:rPr>
                <w:rFonts w:asciiTheme="minorEastAsia" w:hAnsiTheme="minorEastAsia" w:eastAsiaTheme="minorEastAsia" w:cstheme="minorEastAsia"/>
                <w:sz w:val="21"/>
                <w:szCs w:val="21"/>
              </w:rPr>
            </w:pPr>
            <w:r>
              <w:rPr>
                <w:rFonts w:ascii="宋体" w:hAnsi="宋体" w:eastAsia="宋体"/>
                <w:sz w:val="24"/>
              </w:rPr>
              <w:t>苏州中车建设工程有限公司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34" w:type="dxa"/>
            <w:vAlign w:val="center"/>
          </w:tcPr>
          <w:p>
            <w:pPr>
              <w:adjustRightInd w:val="0"/>
              <w:snapToGrid w:val="0"/>
              <w:ind w:left="0" w:leftChars="0" w:right="-122" w:rightChars="-51" w:firstLine="0" w:firstLineChars="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移交</w:t>
            </w:r>
            <w:r>
              <w:rPr>
                <w:rFonts w:hint="eastAsia" w:asciiTheme="minorEastAsia" w:hAnsiTheme="minorEastAsia" w:eastAsiaTheme="minorEastAsia" w:cstheme="minorEastAsia"/>
                <w:sz w:val="21"/>
                <w:szCs w:val="21"/>
              </w:rPr>
              <w:t>单位</w:t>
            </w:r>
          </w:p>
        </w:tc>
        <w:tc>
          <w:tcPr>
            <w:tcW w:w="3799" w:type="dxa"/>
            <w:gridSpan w:val="2"/>
            <w:vAlign w:val="center"/>
          </w:tcPr>
          <w:p>
            <w:pPr>
              <w:adjustRightInd w:val="0"/>
              <w:snapToGrid w:val="0"/>
              <w:ind w:left="-98" w:leftChars="-41" w:right="-122" w:rightChars="-51"/>
              <w:jc w:val="center"/>
              <w:rPr>
                <w:rFonts w:asciiTheme="minorEastAsia" w:hAnsiTheme="minorEastAsia" w:cstheme="minorEastAsia"/>
                <w:sz w:val="21"/>
                <w:szCs w:val="21"/>
              </w:rPr>
            </w:pPr>
            <w:r>
              <w:rPr>
                <w:rFonts w:hint="eastAsia" w:ascii="宋体" w:hAnsi="宋体"/>
                <w:sz w:val="24"/>
                <w:lang w:eastAsia="zh-CN"/>
              </w:rPr>
              <w:t>（</w:t>
            </w:r>
            <w:r>
              <w:rPr>
                <w:rFonts w:ascii="宋体" w:hAnsi="宋体" w:eastAsia="宋体"/>
                <w:color w:val="FF0000"/>
                <w:sz w:val="24"/>
              </w:rPr>
              <w:t>土建XX</w:t>
            </w:r>
            <w:r>
              <w:rPr>
                <w:rFonts w:hint="eastAsia" w:ascii="宋体" w:hAnsi="宋体" w:eastAsia="宋体"/>
                <w:color w:val="FF0000"/>
                <w:sz w:val="24"/>
              </w:rPr>
              <w:t>X</w:t>
            </w:r>
            <w:r>
              <w:rPr>
                <w:rFonts w:ascii="宋体" w:hAnsi="宋体" w:eastAsia="宋体"/>
                <w:color w:val="FF0000"/>
                <w:sz w:val="24"/>
              </w:rPr>
              <w:t>工区</w:t>
            </w:r>
            <w:r>
              <w:rPr>
                <w:rFonts w:hint="eastAsia" w:ascii="宋体" w:hAnsi="宋体"/>
                <w:sz w:val="24"/>
                <w:lang w:eastAsia="zh-CN"/>
              </w:rPr>
              <w:t>）</w:t>
            </w:r>
          </w:p>
        </w:tc>
        <w:tc>
          <w:tcPr>
            <w:tcW w:w="1185" w:type="dxa"/>
            <w:vAlign w:val="center"/>
          </w:tcPr>
          <w:p>
            <w:pPr>
              <w:adjustRightInd w:val="0"/>
              <w:snapToGrid w:val="0"/>
              <w:ind w:right="-122" w:rightChars="-5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日期</w:t>
            </w:r>
          </w:p>
        </w:tc>
        <w:tc>
          <w:tcPr>
            <w:tcW w:w="3242" w:type="dxa"/>
            <w:vAlign w:val="center"/>
          </w:tcPr>
          <w:p>
            <w:pPr>
              <w:adjustRightInd w:val="0"/>
              <w:snapToGrid w:val="0"/>
              <w:ind w:right="-122" w:rightChars="-51"/>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34" w:type="dxa"/>
            <w:vAlign w:val="center"/>
          </w:tcPr>
          <w:p>
            <w:pPr>
              <w:adjustRightInd w:val="0"/>
              <w:snapToGrid w:val="0"/>
              <w:ind w:left="0" w:leftChars="0" w:right="-122" w:rightChars="-51" w:firstLine="0" w:firstLineChars="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接受单位</w:t>
            </w:r>
          </w:p>
        </w:tc>
        <w:tc>
          <w:tcPr>
            <w:tcW w:w="3799" w:type="dxa"/>
            <w:gridSpan w:val="2"/>
            <w:vAlign w:val="center"/>
          </w:tcPr>
          <w:p>
            <w:pPr>
              <w:adjustRightInd w:val="0"/>
              <w:snapToGrid w:val="0"/>
              <w:ind w:left="-98" w:leftChars="-41" w:right="-122" w:rightChars="-51"/>
              <w:jc w:val="center"/>
              <w:rPr>
                <w:rFonts w:asciiTheme="minorEastAsia" w:hAnsiTheme="minorEastAsia" w:cstheme="minorEastAsia"/>
                <w:sz w:val="21"/>
                <w:szCs w:val="21"/>
              </w:rPr>
            </w:pPr>
            <w:r>
              <w:rPr>
                <w:rFonts w:hint="eastAsia" w:ascii="宋体" w:hAnsi="宋体"/>
                <w:sz w:val="24"/>
                <w:lang w:eastAsia="zh-CN"/>
              </w:rPr>
              <w:t>（</w:t>
            </w:r>
            <w:r>
              <w:rPr>
                <w:rFonts w:hint="eastAsia" w:ascii="宋体" w:hAnsi="宋体"/>
                <w:color w:val="FF0000"/>
                <w:sz w:val="24"/>
                <w:lang w:val="en-US" w:eastAsia="zh-CN"/>
              </w:rPr>
              <w:t>轨道/机电XX</w:t>
            </w:r>
            <w:r>
              <w:rPr>
                <w:rFonts w:hint="eastAsia" w:ascii="宋体" w:hAnsi="宋体" w:eastAsia="宋体"/>
                <w:color w:val="FF0000"/>
                <w:sz w:val="24"/>
              </w:rPr>
              <w:t>X</w:t>
            </w:r>
            <w:r>
              <w:rPr>
                <w:rFonts w:hint="eastAsia" w:ascii="宋体" w:hAnsi="宋体"/>
                <w:color w:val="FF0000"/>
                <w:sz w:val="24"/>
                <w:lang w:val="en-US" w:eastAsia="zh-CN"/>
              </w:rPr>
              <w:t>标</w:t>
            </w:r>
            <w:r>
              <w:rPr>
                <w:rFonts w:hint="eastAsia" w:ascii="宋体" w:hAnsi="宋体"/>
                <w:sz w:val="24"/>
                <w:lang w:eastAsia="zh-CN"/>
              </w:rPr>
              <w:t>）</w:t>
            </w:r>
          </w:p>
        </w:tc>
        <w:tc>
          <w:tcPr>
            <w:tcW w:w="1185" w:type="dxa"/>
            <w:vAlign w:val="center"/>
          </w:tcPr>
          <w:p>
            <w:pPr>
              <w:adjustRightInd w:val="0"/>
              <w:snapToGrid w:val="0"/>
              <w:ind w:right="-122" w:rightChars="-51"/>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移交部位</w:t>
            </w:r>
          </w:p>
        </w:tc>
        <w:tc>
          <w:tcPr>
            <w:tcW w:w="3242" w:type="dxa"/>
            <w:vAlign w:val="center"/>
          </w:tcPr>
          <w:p>
            <w:pPr>
              <w:adjustRightInd w:val="0"/>
              <w:snapToGrid w:val="0"/>
              <w:ind w:right="-122" w:rightChars="-51"/>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6" w:hRule="atLeast"/>
          <w:jc w:val="center"/>
        </w:trPr>
        <w:tc>
          <w:tcPr>
            <w:tcW w:w="9360" w:type="dxa"/>
            <w:gridSpan w:val="5"/>
            <w:vAlign w:val="top"/>
          </w:tcPr>
          <w:p>
            <w:pPr>
              <w:keepNext w:val="0"/>
              <w:keepLines w:val="0"/>
              <w:pageBreakBefore w:val="0"/>
              <w:widowControl w:val="0"/>
              <w:tabs>
                <w:tab w:val="left" w:pos="312"/>
              </w:tabs>
              <w:kinsoku/>
              <w:wordWrap/>
              <w:overflowPunct/>
              <w:topLinePunct w:val="0"/>
              <w:autoSpaceDE/>
              <w:autoSpaceDN/>
              <w:bidi w:val="0"/>
              <w:adjustRightInd w:val="0"/>
              <w:snapToGrid w:val="0"/>
              <w:spacing w:before="157" w:beforeLines="50" w:line="360" w:lineRule="auto"/>
              <w:ind w:left="0" w:leftChars="0" w:right="0" w:rightChars="0" w:firstLine="0" w:firstLineChars="0"/>
              <w:jc w:val="both"/>
              <w:textAlignment w:val="auto"/>
              <w:outlineLvl w:val="9"/>
              <w:rPr>
                <w:rFonts w:hint="eastAsia" w:ascii="宋体" w:hAnsi="宋体"/>
                <w:sz w:val="21"/>
              </w:rPr>
            </w:pPr>
            <w:r>
              <w:rPr>
                <w:rFonts w:hint="eastAsia" w:ascii="宋体" w:hAnsi="宋体"/>
                <w:sz w:val="21"/>
                <w:lang w:val="en-US" w:eastAsia="zh-CN"/>
              </w:rPr>
              <w:t>交接内容</w:t>
            </w:r>
            <w:r>
              <w:rPr>
                <w:rFonts w:hint="eastAsia" w:ascii="宋体" w:hAnsi="宋体"/>
                <w:sz w:val="21"/>
              </w:rPr>
              <w:t>：</w:t>
            </w:r>
          </w:p>
          <w:p>
            <w:pPr>
              <w:keepNext w:val="0"/>
              <w:keepLines w:val="0"/>
              <w:pageBreakBefore w:val="0"/>
              <w:widowControl w:val="0"/>
              <w:tabs>
                <w:tab w:val="left" w:pos="312"/>
              </w:tabs>
              <w:kinsoku/>
              <w:wordWrap/>
              <w:overflowPunct/>
              <w:topLinePunct w:val="0"/>
              <w:autoSpaceDE/>
              <w:autoSpaceDN/>
              <w:bidi w:val="0"/>
              <w:adjustRightInd w:val="0"/>
              <w:snapToGrid w:val="0"/>
              <w:spacing w:before="95" w:beforeLines="30" w:line="240" w:lineRule="auto"/>
              <w:ind w:left="0" w:leftChars="0" w:right="0" w:rightChars="0" w:firstLine="420" w:firstLineChars="200"/>
              <w:jc w:val="both"/>
              <w:textAlignment w:val="auto"/>
              <w:outlineLvl w:val="9"/>
              <w:rPr>
                <w:rFonts w:hint="eastAsia" w:ascii="宋体" w:hAnsi="宋体"/>
                <w:sz w:val="21"/>
                <w:lang w:val="en-US" w:eastAsia="zh-CN"/>
              </w:rPr>
            </w:pPr>
            <w:r>
              <w:rPr>
                <w:rFonts w:hint="eastAsia" w:ascii="宋体" w:hAnsi="宋体"/>
                <w:sz w:val="21"/>
                <w:lang w:val="en-US" w:eastAsia="zh-CN"/>
              </w:rPr>
              <w:t>1.已签订的安全协议；</w:t>
            </w:r>
          </w:p>
          <w:p>
            <w:pPr>
              <w:keepNext w:val="0"/>
              <w:keepLines w:val="0"/>
              <w:pageBreakBefore w:val="0"/>
              <w:widowControl w:val="0"/>
              <w:tabs>
                <w:tab w:val="left" w:pos="312"/>
              </w:tabs>
              <w:kinsoku/>
              <w:wordWrap/>
              <w:overflowPunct/>
              <w:topLinePunct w:val="0"/>
              <w:autoSpaceDE/>
              <w:autoSpaceDN/>
              <w:bidi w:val="0"/>
              <w:adjustRightInd w:val="0"/>
              <w:snapToGrid w:val="0"/>
              <w:spacing w:before="95" w:beforeLines="30" w:line="240" w:lineRule="auto"/>
              <w:ind w:left="0" w:leftChars="0" w:right="0" w:rightChars="0" w:firstLine="420" w:firstLineChars="200"/>
              <w:jc w:val="both"/>
              <w:textAlignment w:val="auto"/>
              <w:outlineLvl w:val="9"/>
              <w:rPr>
                <w:rFonts w:hint="eastAsia" w:ascii="宋体" w:hAnsi="宋体"/>
                <w:sz w:val="21"/>
                <w:lang w:val="en-US" w:eastAsia="zh-CN"/>
              </w:rPr>
            </w:pPr>
            <w:r>
              <w:rPr>
                <w:rFonts w:hint="eastAsia" w:ascii="宋体" w:hAnsi="宋体"/>
                <w:sz w:val="21"/>
                <w:lang w:val="en-US" w:eastAsia="zh-CN"/>
              </w:rPr>
              <w:t>2.具体移交部位、移交内容；</w:t>
            </w:r>
          </w:p>
          <w:p>
            <w:pPr>
              <w:keepNext w:val="0"/>
              <w:keepLines w:val="0"/>
              <w:pageBreakBefore w:val="0"/>
              <w:widowControl w:val="0"/>
              <w:tabs>
                <w:tab w:val="left" w:pos="312"/>
              </w:tabs>
              <w:kinsoku/>
              <w:wordWrap/>
              <w:overflowPunct/>
              <w:topLinePunct w:val="0"/>
              <w:autoSpaceDE/>
              <w:autoSpaceDN/>
              <w:bidi w:val="0"/>
              <w:adjustRightInd w:val="0"/>
              <w:snapToGrid w:val="0"/>
              <w:spacing w:before="95" w:beforeLines="30" w:line="240" w:lineRule="auto"/>
              <w:ind w:left="0" w:leftChars="0" w:right="0" w:rightChars="0" w:firstLine="420" w:firstLineChars="200"/>
              <w:jc w:val="both"/>
              <w:textAlignment w:val="auto"/>
              <w:outlineLvl w:val="9"/>
              <w:rPr>
                <w:rFonts w:hint="eastAsia" w:ascii="宋体" w:hAnsi="宋体"/>
                <w:sz w:val="21"/>
                <w:lang w:val="en-US" w:eastAsia="zh-CN"/>
              </w:rPr>
            </w:pPr>
            <w:r>
              <w:rPr>
                <w:rFonts w:hint="eastAsia" w:ascii="宋体" w:hAnsi="宋体"/>
                <w:sz w:val="21"/>
                <w:lang w:val="en-US" w:eastAsia="zh-CN"/>
              </w:rPr>
              <w:t>3.与移交部位相关的技术资料；</w:t>
            </w:r>
          </w:p>
          <w:p>
            <w:pPr>
              <w:keepNext w:val="0"/>
              <w:keepLines w:val="0"/>
              <w:pageBreakBefore w:val="0"/>
              <w:widowControl w:val="0"/>
              <w:tabs>
                <w:tab w:val="left" w:pos="312"/>
              </w:tabs>
              <w:kinsoku/>
              <w:wordWrap/>
              <w:overflowPunct/>
              <w:topLinePunct w:val="0"/>
              <w:autoSpaceDE/>
              <w:autoSpaceDN/>
              <w:bidi w:val="0"/>
              <w:adjustRightInd w:val="0"/>
              <w:snapToGrid w:val="0"/>
              <w:spacing w:before="95" w:beforeLines="30" w:line="240" w:lineRule="auto"/>
              <w:ind w:left="0" w:leftChars="0" w:right="0" w:rightChars="0" w:firstLine="420" w:firstLineChars="200"/>
              <w:jc w:val="both"/>
              <w:textAlignment w:val="auto"/>
              <w:outlineLvl w:val="9"/>
              <w:rPr>
                <w:rFonts w:hint="eastAsia" w:ascii="宋体" w:hAnsi="宋体"/>
                <w:sz w:val="21"/>
                <w:lang w:val="en-US" w:eastAsia="zh-CN"/>
              </w:rPr>
            </w:pPr>
            <w:r>
              <w:rPr>
                <w:rFonts w:hint="eastAsia" w:ascii="宋体" w:hAnsi="宋体"/>
                <w:sz w:val="21"/>
                <w:lang w:val="en-US" w:eastAsia="zh-CN"/>
              </w:rPr>
              <w:t>4.遗留的问题。</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right="420" w:firstLine="62" w:firstLineChars="26"/>
              <w:jc w:val="center"/>
              <w:textAlignment w:val="auto"/>
              <w:outlineLvl w:val="9"/>
              <w:rPr>
                <w:rFonts w:asciiTheme="minorEastAsia" w:hAnsiTheme="minorEastAsia" w:eastAsiaTheme="minorEastAsia" w:cstheme="minorEastAsia"/>
                <w:sz w:val="21"/>
                <w:szCs w:val="21"/>
              </w:rPr>
            </w:pPr>
            <w:r>
              <w:rPr>
                <w:rFonts w:hint="eastAsia" w:ascii="宋体" w:hAnsi="宋体"/>
                <w:sz w:val="24"/>
                <w:lang w:eastAsia="zh-CN"/>
              </w:rPr>
              <w:t>（</w:t>
            </w:r>
            <w:r>
              <w:rPr>
                <w:rFonts w:hint="eastAsia" w:ascii="宋体" w:hAnsi="宋体"/>
                <w:color w:val="FF0000"/>
                <w:sz w:val="24"/>
                <w:lang w:val="en-US" w:eastAsia="zh-CN"/>
              </w:rPr>
              <w:t>内容较多时可附件</w:t>
            </w:r>
            <w:r>
              <w:rPr>
                <w:rFonts w:hint="eastAsia"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4678"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95" w:beforeLines="30"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移交单位意见：</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240" w:lineRule="auto"/>
              <w:ind w:right="0" w:rightChars="0" w:firstLine="1680" w:firstLineChars="800"/>
              <w:jc w:val="both"/>
              <w:textAlignment w:val="auto"/>
              <w:outlineLvl w:val="9"/>
              <w:rPr>
                <w:rFonts w:hint="eastAsia" w:ascii="宋体" w:hAnsi="宋体"/>
                <w:sz w:val="21"/>
                <w:lang w:val="en-US" w:eastAsia="zh-CN"/>
              </w:rPr>
            </w:pPr>
            <w:r>
              <w:rPr>
                <w:rFonts w:hint="eastAsia" w:ascii="宋体" w:hAnsi="宋体"/>
                <w:sz w:val="21"/>
                <w:lang w:eastAsia="zh-CN"/>
              </w:rPr>
              <w:t>（</w:t>
            </w:r>
            <w:r>
              <w:rPr>
                <w:rFonts w:hint="eastAsia" w:ascii="宋体" w:hAnsi="宋体"/>
                <w:sz w:val="21"/>
                <w:lang w:val="en-US" w:eastAsia="zh-CN"/>
              </w:rPr>
              <w:t>盖章</w:t>
            </w:r>
            <w:r>
              <w:rPr>
                <w:rFonts w:hint="eastAsia" w:ascii="宋体" w:hAnsi="宋体"/>
                <w:sz w:val="21"/>
                <w:lang w:eastAsia="zh-CN"/>
              </w:rPr>
              <w:t>）</w:t>
            </w:r>
            <w:r>
              <w:rPr>
                <w:rFonts w:hint="eastAsia" w:ascii="宋体" w:hAnsi="宋体"/>
                <w:sz w:val="21"/>
              </w:rPr>
              <w:t>：</w:t>
            </w:r>
            <w:r>
              <w:rPr>
                <w:rFonts w:hint="eastAsia" w:ascii="宋体" w:hAnsi="宋体"/>
                <w:sz w:val="21"/>
                <w:u w:val="single"/>
              </w:rPr>
              <w:t xml:space="preserve"> </w:t>
            </w:r>
            <w:r>
              <w:rPr>
                <w:rFonts w:ascii="宋体" w:hAnsi="宋体"/>
                <w:sz w:val="21"/>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2100" w:firstLineChars="1000"/>
              <w:jc w:val="both"/>
              <w:textAlignment w:val="auto"/>
              <w:outlineLvl w:val="9"/>
              <w:rPr>
                <w:rFonts w:hint="eastAsia" w:ascii="宋体" w:hAnsi="宋体"/>
                <w:sz w:val="21"/>
                <w:lang w:val="en-US" w:eastAsia="zh-CN"/>
              </w:rPr>
            </w:pPr>
            <w:r>
              <w:rPr>
                <w:rFonts w:hint="eastAsia" w:ascii="宋体" w:hAnsi="宋体"/>
                <w:sz w:val="21"/>
                <w:lang w:val="en-US" w:eastAsia="zh-CN"/>
              </w:rPr>
              <w:t>签名</w:t>
            </w:r>
            <w:r>
              <w:rPr>
                <w:rFonts w:hint="eastAsia" w:ascii="宋体" w:hAnsi="宋体"/>
                <w:sz w:val="21"/>
              </w:rPr>
              <w:t>：</w:t>
            </w:r>
            <w:r>
              <w:rPr>
                <w:rFonts w:hint="eastAsia" w:ascii="宋体" w:hAnsi="宋体"/>
                <w:sz w:val="21"/>
                <w:u w:val="single"/>
              </w:rPr>
              <w:t xml:space="preserve"> </w:t>
            </w:r>
            <w:r>
              <w:rPr>
                <w:rFonts w:ascii="宋体" w:hAnsi="宋体"/>
                <w:sz w:val="21"/>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asciiTheme="minorEastAsia" w:hAnsiTheme="minorEastAsia" w:eastAsiaTheme="minorEastAsia" w:cstheme="minorEastAsia"/>
                <w:sz w:val="21"/>
                <w:szCs w:val="21"/>
              </w:rPr>
            </w:pPr>
            <w:r>
              <w:rPr>
                <w:rFonts w:hint="eastAsia" w:ascii="宋体" w:hAnsi="宋体"/>
                <w:sz w:val="21"/>
                <w:lang w:val="en-US" w:eastAsia="zh-CN"/>
              </w:rPr>
              <w:t xml:space="preserve">   </w:t>
            </w:r>
            <w:r>
              <w:rPr>
                <w:rFonts w:hint="eastAsia" w:ascii="宋体" w:hAnsi="宋体"/>
                <w:sz w:val="21"/>
              </w:rPr>
              <w:t>日期：</w:t>
            </w:r>
            <w:r>
              <w:rPr>
                <w:rFonts w:hint="eastAsia" w:ascii="宋体" w:hAnsi="宋体"/>
                <w:sz w:val="21"/>
                <w:u w:val="single"/>
              </w:rPr>
              <w:t xml:space="preserve"> </w:t>
            </w:r>
            <w:r>
              <w:rPr>
                <w:rFonts w:ascii="宋体" w:hAnsi="宋体"/>
                <w:sz w:val="21"/>
                <w:u w:val="single"/>
              </w:rPr>
              <w:t xml:space="preserve">              </w:t>
            </w:r>
          </w:p>
        </w:tc>
        <w:tc>
          <w:tcPr>
            <w:tcW w:w="4682"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95" w:beforeLines="30"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接受单位意见：</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240" w:lineRule="auto"/>
              <w:ind w:right="0" w:rightChars="0" w:firstLine="1680" w:firstLineChars="800"/>
              <w:jc w:val="both"/>
              <w:textAlignment w:val="auto"/>
              <w:outlineLvl w:val="9"/>
              <w:rPr>
                <w:rFonts w:hint="eastAsia" w:ascii="宋体" w:hAnsi="宋体"/>
                <w:sz w:val="21"/>
                <w:lang w:val="en-US" w:eastAsia="zh-CN"/>
              </w:rPr>
            </w:pPr>
            <w:r>
              <w:rPr>
                <w:rFonts w:hint="eastAsia" w:ascii="宋体" w:hAnsi="宋体"/>
                <w:sz w:val="21"/>
                <w:lang w:eastAsia="zh-CN"/>
              </w:rPr>
              <w:t>（</w:t>
            </w:r>
            <w:r>
              <w:rPr>
                <w:rFonts w:hint="eastAsia" w:ascii="宋体" w:hAnsi="宋体"/>
                <w:sz w:val="21"/>
                <w:lang w:val="en-US" w:eastAsia="zh-CN"/>
              </w:rPr>
              <w:t>盖章</w:t>
            </w:r>
            <w:r>
              <w:rPr>
                <w:rFonts w:hint="eastAsia" w:ascii="宋体" w:hAnsi="宋体"/>
                <w:sz w:val="21"/>
                <w:lang w:eastAsia="zh-CN"/>
              </w:rPr>
              <w:t>）</w:t>
            </w:r>
            <w:r>
              <w:rPr>
                <w:rFonts w:hint="eastAsia" w:ascii="宋体" w:hAnsi="宋体"/>
                <w:sz w:val="21"/>
              </w:rPr>
              <w:t>：</w:t>
            </w:r>
            <w:r>
              <w:rPr>
                <w:rFonts w:hint="eastAsia" w:ascii="宋体" w:hAnsi="宋体"/>
                <w:sz w:val="21"/>
                <w:u w:val="single"/>
              </w:rPr>
              <w:t xml:space="preserve"> </w:t>
            </w:r>
            <w:r>
              <w:rPr>
                <w:rFonts w:ascii="宋体" w:hAnsi="宋体"/>
                <w:sz w:val="21"/>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2100" w:firstLineChars="1000"/>
              <w:jc w:val="both"/>
              <w:textAlignment w:val="auto"/>
              <w:outlineLvl w:val="9"/>
              <w:rPr>
                <w:rFonts w:hint="eastAsia" w:ascii="宋体" w:hAnsi="宋体"/>
                <w:sz w:val="21"/>
                <w:lang w:val="en-US" w:eastAsia="zh-CN"/>
              </w:rPr>
            </w:pPr>
            <w:r>
              <w:rPr>
                <w:rFonts w:hint="eastAsia" w:ascii="宋体" w:hAnsi="宋体"/>
                <w:sz w:val="21"/>
                <w:lang w:val="en-US" w:eastAsia="zh-CN"/>
              </w:rPr>
              <w:t>签名</w:t>
            </w:r>
            <w:r>
              <w:rPr>
                <w:rFonts w:hint="eastAsia" w:ascii="宋体" w:hAnsi="宋体"/>
                <w:sz w:val="21"/>
              </w:rPr>
              <w:t>：</w:t>
            </w:r>
            <w:r>
              <w:rPr>
                <w:rFonts w:hint="eastAsia" w:ascii="宋体" w:hAnsi="宋体"/>
                <w:sz w:val="21"/>
                <w:u w:val="single"/>
              </w:rPr>
              <w:t xml:space="preserve"> </w:t>
            </w:r>
            <w:r>
              <w:rPr>
                <w:rFonts w:ascii="宋体" w:hAnsi="宋体"/>
                <w:sz w:val="21"/>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2100" w:firstLineChars="1000"/>
              <w:jc w:val="both"/>
              <w:textAlignment w:val="auto"/>
              <w:outlineLvl w:val="9"/>
              <w:rPr>
                <w:rFonts w:asciiTheme="minorEastAsia" w:hAnsiTheme="minorEastAsia" w:eastAsiaTheme="minorEastAsia" w:cstheme="minorEastAsia"/>
                <w:sz w:val="21"/>
                <w:szCs w:val="21"/>
              </w:rPr>
            </w:pPr>
            <w:r>
              <w:rPr>
                <w:rFonts w:hint="eastAsia" w:ascii="宋体" w:hAnsi="宋体"/>
                <w:sz w:val="21"/>
              </w:rPr>
              <w:t>日期：</w:t>
            </w:r>
            <w:r>
              <w:rPr>
                <w:rFonts w:hint="eastAsia" w:ascii="宋体" w:hAnsi="宋体"/>
                <w:sz w:val="21"/>
                <w:u w:val="single"/>
              </w:rPr>
              <w:t xml:space="preserve"> </w:t>
            </w:r>
            <w:r>
              <w:rPr>
                <w:rFonts w:ascii="宋体" w:hAnsi="宋体"/>
                <w:sz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46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val="0"/>
              <w:snapToGrid w:val="0"/>
              <w:spacing w:before="95" w:beforeLines="30"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总包单位意见：</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240" w:lineRule="auto"/>
              <w:ind w:right="0" w:rightChars="0" w:firstLine="1680" w:firstLineChars="800"/>
              <w:jc w:val="both"/>
              <w:textAlignment w:val="auto"/>
              <w:outlineLvl w:val="9"/>
              <w:rPr>
                <w:rFonts w:hint="eastAsia" w:ascii="宋体" w:hAnsi="宋体"/>
                <w:sz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210" w:firstLineChars="100"/>
              <w:jc w:val="both"/>
              <w:textAlignment w:val="auto"/>
              <w:outlineLvl w:val="9"/>
              <w:rPr>
                <w:rFonts w:hint="eastAsia" w:ascii="宋体" w:hAnsi="宋体"/>
                <w:sz w:val="21"/>
                <w:lang w:val="en-US" w:eastAsia="zh-CN"/>
              </w:rPr>
            </w:pPr>
            <w:r>
              <w:rPr>
                <w:rFonts w:hint="eastAsia" w:ascii="宋体" w:hAnsi="宋体"/>
                <w:sz w:val="21"/>
                <w:lang w:val="en-US" w:eastAsia="zh-CN"/>
              </w:rPr>
              <w:t>（移交专业负责人）签名</w:t>
            </w:r>
            <w:r>
              <w:rPr>
                <w:rFonts w:hint="eastAsia" w:ascii="宋体" w:hAnsi="宋体"/>
                <w:sz w:val="21"/>
              </w:rPr>
              <w:t>：</w:t>
            </w:r>
            <w:r>
              <w:rPr>
                <w:rFonts w:hint="eastAsia" w:ascii="宋体" w:hAnsi="宋体"/>
                <w:sz w:val="21"/>
                <w:u w:val="single"/>
              </w:rPr>
              <w:t xml:space="preserve"> </w:t>
            </w:r>
            <w:r>
              <w:rPr>
                <w:rFonts w:ascii="宋体" w:hAnsi="宋体"/>
                <w:sz w:val="21"/>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sz w:val="21"/>
                <w:lang w:val="en-US" w:eastAsia="zh-CN"/>
              </w:rPr>
            </w:pPr>
            <w:r>
              <w:rPr>
                <w:rFonts w:hint="eastAsia" w:ascii="宋体" w:hAnsi="宋体"/>
                <w:sz w:val="21"/>
                <w:lang w:val="en-US" w:eastAsia="zh-CN"/>
              </w:rPr>
              <w:t xml:space="preserve">   </w:t>
            </w:r>
            <w:r>
              <w:rPr>
                <w:rFonts w:hint="eastAsia" w:ascii="宋体" w:hAnsi="宋体"/>
                <w:sz w:val="21"/>
              </w:rPr>
              <w:t>日期：</w:t>
            </w:r>
            <w:r>
              <w:rPr>
                <w:rFonts w:hint="eastAsia" w:ascii="宋体" w:hAnsi="宋体"/>
                <w:sz w:val="21"/>
                <w:u w:val="single"/>
              </w:rPr>
              <w:t xml:space="preserve"> </w:t>
            </w:r>
            <w:r>
              <w:rPr>
                <w:rFonts w:ascii="宋体" w:hAnsi="宋体"/>
                <w:sz w:val="21"/>
                <w:u w:val="single"/>
              </w:rPr>
              <w:t xml:space="preserve">              </w:t>
            </w:r>
          </w:p>
        </w:tc>
        <w:tc>
          <w:tcPr>
            <w:tcW w:w="4682" w:type="dxa"/>
            <w:gridSpan w:val="3"/>
            <w:tcBorders>
              <w:left w:val="nil"/>
            </w:tcBorders>
            <w:vAlign w:val="center"/>
          </w:tcPr>
          <w:p>
            <w:pPr>
              <w:keepNext w:val="0"/>
              <w:keepLines w:val="0"/>
              <w:pageBreakBefore w:val="0"/>
              <w:widowControl w:val="0"/>
              <w:kinsoku/>
              <w:wordWrap/>
              <w:overflowPunct/>
              <w:topLinePunct w:val="0"/>
              <w:autoSpaceDE/>
              <w:autoSpaceDN/>
              <w:bidi w:val="0"/>
              <w:adjustRightInd w:val="0"/>
              <w:snapToGrid w:val="0"/>
              <w:spacing w:before="95" w:beforeLines="30"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240" w:lineRule="auto"/>
              <w:ind w:right="0" w:rightChars="0" w:firstLine="1680" w:firstLineChars="800"/>
              <w:jc w:val="left"/>
              <w:textAlignment w:val="auto"/>
              <w:outlineLvl w:val="9"/>
              <w:rPr>
                <w:rFonts w:hint="eastAsia" w:ascii="宋体" w:hAnsi="宋体"/>
                <w:sz w:val="21"/>
                <w:lang w:val="en-US" w:eastAsia="zh-CN"/>
              </w:rPr>
            </w:pPr>
            <w:r>
              <w:rPr>
                <w:rFonts w:hint="eastAsia" w:ascii="宋体" w:hAnsi="宋体"/>
                <w:sz w:val="21"/>
                <w:lang w:eastAsia="zh-CN"/>
              </w:rPr>
              <w:t>（</w:t>
            </w:r>
            <w:r>
              <w:rPr>
                <w:rFonts w:hint="eastAsia" w:ascii="宋体" w:hAnsi="宋体"/>
                <w:sz w:val="21"/>
                <w:lang w:val="en-US" w:eastAsia="zh-CN"/>
              </w:rPr>
              <w:t>盖章</w:t>
            </w:r>
            <w:r>
              <w:rPr>
                <w:rFonts w:hint="eastAsia" w:ascii="宋体" w:hAnsi="宋体"/>
                <w:sz w:val="21"/>
                <w:lang w:eastAsia="zh-CN"/>
              </w:rPr>
              <w:t>）</w:t>
            </w:r>
            <w:r>
              <w:rPr>
                <w:rFonts w:hint="eastAsia" w:ascii="宋体" w:hAnsi="宋体"/>
                <w:sz w:val="21"/>
              </w:rPr>
              <w:t>：</w:t>
            </w:r>
            <w:r>
              <w:rPr>
                <w:rFonts w:hint="eastAsia" w:ascii="宋体" w:hAnsi="宋体"/>
                <w:sz w:val="21"/>
                <w:u w:val="single"/>
              </w:rPr>
              <w:t xml:space="preserve"> </w:t>
            </w:r>
            <w:r>
              <w:rPr>
                <w:rFonts w:ascii="宋体" w:hAnsi="宋体"/>
                <w:sz w:val="21"/>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210" w:firstLineChars="100"/>
              <w:jc w:val="both"/>
              <w:textAlignment w:val="auto"/>
              <w:outlineLvl w:val="9"/>
              <w:rPr>
                <w:rFonts w:hint="eastAsia" w:ascii="宋体" w:hAnsi="宋体"/>
                <w:sz w:val="21"/>
                <w:lang w:val="en-US" w:eastAsia="zh-CN"/>
              </w:rPr>
            </w:pPr>
            <w:r>
              <w:rPr>
                <w:rFonts w:hint="eastAsia" w:ascii="宋体" w:hAnsi="宋体"/>
                <w:sz w:val="21"/>
                <w:lang w:val="en-US" w:eastAsia="zh-CN"/>
              </w:rPr>
              <w:t>（接受专业负责人）签名</w:t>
            </w:r>
            <w:r>
              <w:rPr>
                <w:rFonts w:hint="eastAsia" w:ascii="宋体" w:hAnsi="宋体"/>
                <w:sz w:val="21"/>
              </w:rPr>
              <w:t>：</w:t>
            </w:r>
            <w:r>
              <w:rPr>
                <w:rFonts w:hint="eastAsia" w:ascii="宋体" w:hAnsi="宋体"/>
                <w:sz w:val="21"/>
                <w:u w:val="single"/>
              </w:rPr>
              <w:t xml:space="preserve"> </w:t>
            </w:r>
            <w:r>
              <w:rPr>
                <w:rFonts w:ascii="宋体" w:hAnsi="宋体"/>
                <w:sz w:val="21"/>
                <w:u w:val="single"/>
              </w:rPr>
              <w:t xml:space="preserve">              </w:t>
            </w:r>
          </w:p>
          <w:p>
            <w:pPr>
              <w:adjustRightInd w:val="0"/>
              <w:snapToGrid w:val="0"/>
              <w:jc w:val="center"/>
              <w:rPr>
                <w:rFonts w:hint="eastAsia" w:ascii="宋体" w:hAnsi="宋体"/>
                <w:sz w:val="21"/>
                <w:lang w:val="en-US" w:eastAsia="zh-CN"/>
              </w:rPr>
            </w:pPr>
            <w:r>
              <w:rPr>
                <w:rFonts w:hint="eastAsia" w:ascii="宋体" w:hAnsi="宋体"/>
                <w:sz w:val="21"/>
                <w:lang w:val="en-US" w:eastAsia="zh-CN"/>
              </w:rPr>
              <w:t xml:space="preserve">   </w:t>
            </w:r>
            <w:r>
              <w:rPr>
                <w:rFonts w:hint="eastAsia" w:ascii="宋体" w:hAnsi="宋体"/>
                <w:sz w:val="21"/>
              </w:rPr>
              <w:t>日期：</w:t>
            </w:r>
            <w:r>
              <w:rPr>
                <w:rFonts w:hint="eastAsia" w:ascii="宋体" w:hAnsi="宋体"/>
                <w:sz w:val="21"/>
                <w:u w:val="single"/>
              </w:rPr>
              <w:t xml:space="preserve"> </w:t>
            </w:r>
            <w:r>
              <w:rPr>
                <w:rFonts w:ascii="宋体" w:hAnsi="宋体"/>
                <w:sz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4678"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95" w:beforeLines="30"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移交监理单位意见：</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240" w:lineRule="auto"/>
              <w:ind w:right="0" w:rightChars="0" w:firstLine="1680" w:firstLineChars="800"/>
              <w:jc w:val="both"/>
              <w:textAlignment w:val="auto"/>
              <w:outlineLvl w:val="9"/>
              <w:rPr>
                <w:rFonts w:hint="eastAsia" w:ascii="宋体" w:hAnsi="宋体"/>
                <w:sz w:val="21"/>
                <w:lang w:val="en-US" w:eastAsia="zh-CN"/>
              </w:rPr>
            </w:pPr>
            <w:r>
              <w:rPr>
                <w:rFonts w:hint="eastAsia" w:ascii="宋体" w:hAnsi="宋体"/>
                <w:sz w:val="21"/>
                <w:lang w:eastAsia="zh-CN"/>
              </w:rPr>
              <w:t>（</w:t>
            </w:r>
            <w:r>
              <w:rPr>
                <w:rFonts w:hint="eastAsia" w:ascii="宋体" w:hAnsi="宋体"/>
                <w:sz w:val="21"/>
                <w:lang w:val="en-US" w:eastAsia="zh-CN"/>
              </w:rPr>
              <w:t>盖章</w:t>
            </w:r>
            <w:r>
              <w:rPr>
                <w:rFonts w:hint="eastAsia" w:ascii="宋体" w:hAnsi="宋体"/>
                <w:sz w:val="21"/>
                <w:lang w:eastAsia="zh-CN"/>
              </w:rPr>
              <w:t>）</w:t>
            </w:r>
            <w:r>
              <w:rPr>
                <w:rFonts w:hint="eastAsia" w:ascii="宋体" w:hAnsi="宋体"/>
                <w:sz w:val="21"/>
              </w:rPr>
              <w:t>：</w:t>
            </w:r>
            <w:r>
              <w:rPr>
                <w:rFonts w:hint="eastAsia" w:ascii="宋体" w:hAnsi="宋体"/>
                <w:sz w:val="21"/>
                <w:u w:val="single"/>
              </w:rPr>
              <w:t xml:space="preserve"> </w:t>
            </w:r>
            <w:r>
              <w:rPr>
                <w:rFonts w:ascii="宋体" w:hAnsi="宋体"/>
                <w:sz w:val="21"/>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2100" w:firstLineChars="1000"/>
              <w:jc w:val="both"/>
              <w:textAlignment w:val="auto"/>
              <w:outlineLvl w:val="9"/>
              <w:rPr>
                <w:rFonts w:hint="eastAsia" w:ascii="宋体" w:hAnsi="宋体"/>
                <w:sz w:val="21"/>
                <w:lang w:val="en-US" w:eastAsia="zh-CN"/>
              </w:rPr>
            </w:pPr>
            <w:r>
              <w:rPr>
                <w:rFonts w:hint="eastAsia" w:ascii="宋体" w:hAnsi="宋体"/>
                <w:sz w:val="21"/>
                <w:lang w:val="en-US" w:eastAsia="zh-CN"/>
              </w:rPr>
              <w:t>签名</w:t>
            </w:r>
            <w:r>
              <w:rPr>
                <w:rFonts w:hint="eastAsia" w:ascii="宋体" w:hAnsi="宋体"/>
                <w:sz w:val="21"/>
              </w:rPr>
              <w:t>：</w:t>
            </w:r>
            <w:r>
              <w:rPr>
                <w:rFonts w:hint="eastAsia" w:ascii="宋体" w:hAnsi="宋体"/>
                <w:sz w:val="21"/>
                <w:u w:val="single"/>
              </w:rPr>
              <w:t xml:space="preserve"> </w:t>
            </w:r>
            <w:r>
              <w:rPr>
                <w:rFonts w:ascii="宋体" w:hAnsi="宋体"/>
                <w:sz w:val="21"/>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sz w:val="21"/>
                <w:lang w:val="en-US" w:eastAsia="zh-CN"/>
              </w:rPr>
            </w:pPr>
            <w:r>
              <w:rPr>
                <w:rFonts w:hint="eastAsia" w:ascii="宋体" w:hAnsi="宋体"/>
                <w:sz w:val="21"/>
                <w:lang w:val="en-US" w:eastAsia="zh-CN"/>
              </w:rPr>
              <w:t xml:space="preserve">   </w:t>
            </w:r>
            <w:r>
              <w:rPr>
                <w:rFonts w:hint="eastAsia" w:ascii="宋体" w:hAnsi="宋体"/>
                <w:sz w:val="21"/>
              </w:rPr>
              <w:t>日期：</w:t>
            </w:r>
            <w:r>
              <w:rPr>
                <w:rFonts w:hint="eastAsia" w:ascii="宋体" w:hAnsi="宋体"/>
                <w:sz w:val="21"/>
                <w:u w:val="single"/>
              </w:rPr>
              <w:t xml:space="preserve"> </w:t>
            </w:r>
            <w:r>
              <w:rPr>
                <w:rFonts w:ascii="宋体" w:hAnsi="宋体"/>
                <w:sz w:val="21"/>
                <w:u w:val="single"/>
              </w:rPr>
              <w:t xml:space="preserve">              </w:t>
            </w:r>
          </w:p>
        </w:tc>
        <w:tc>
          <w:tcPr>
            <w:tcW w:w="4682"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95" w:beforeLines="30"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接受监理单位意见：</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240" w:lineRule="auto"/>
              <w:ind w:right="0" w:rightChars="0" w:firstLine="1680" w:firstLineChars="800"/>
              <w:jc w:val="both"/>
              <w:textAlignment w:val="auto"/>
              <w:outlineLvl w:val="9"/>
              <w:rPr>
                <w:rFonts w:hint="eastAsia" w:ascii="宋体" w:hAnsi="宋体"/>
                <w:sz w:val="21"/>
                <w:lang w:val="en-US" w:eastAsia="zh-CN"/>
              </w:rPr>
            </w:pPr>
            <w:r>
              <w:rPr>
                <w:rFonts w:hint="eastAsia" w:ascii="宋体" w:hAnsi="宋体"/>
                <w:sz w:val="21"/>
                <w:lang w:eastAsia="zh-CN"/>
              </w:rPr>
              <w:t>（</w:t>
            </w:r>
            <w:r>
              <w:rPr>
                <w:rFonts w:hint="eastAsia" w:ascii="宋体" w:hAnsi="宋体"/>
                <w:sz w:val="21"/>
                <w:lang w:val="en-US" w:eastAsia="zh-CN"/>
              </w:rPr>
              <w:t>盖章</w:t>
            </w:r>
            <w:r>
              <w:rPr>
                <w:rFonts w:hint="eastAsia" w:ascii="宋体" w:hAnsi="宋体"/>
                <w:sz w:val="21"/>
                <w:lang w:eastAsia="zh-CN"/>
              </w:rPr>
              <w:t>）</w:t>
            </w:r>
            <w:r>
              <w:rPr>
                <w:rFonts w:hint="eastAsia" w:ascii="宋体" w:hAnsi="宋体"/>
                <w:sz w:val="21"/>
              </w:rPr>
              <w:t>：</w:t>
            </w:r>
            <w:r>
              <w:rPr>
                <w:rFonts w:hint="eastAsia" w:ascii="宋体" w:hAnsi="宋体"/>
                <w:sz w:val="21"/>
                <w:u w:val="single"/>
              </w:rPr>
              <w:t xml:space="preserve"> </w:t>
            </w:r>
            <w:r>
              <w:rPr>
                <w:rFonts w:ascii="宋体" w:hAnsi="宋体"/>
                <w:sz w:val="21"/>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2100" w:firstLineChars="1000"/>
              <w:jc w:val="both"/>
              <w:textAlignment w:val="auto"/>
              <w:outlineLvl w:val="9"/>
              <w:rPr>
                <w:rFonts w:hint="eastAsia" w:ascii="宋体" w:hAnsi="宋体"/>
                <w:sz w:val="21"/>
                <w:lang w:val="en-US" w:eastAsia="zh-CN"/>
              </w:rPr>
            </w:pPr>
            <w:r>
              <w:rPr>
                <w:rFonts w:hint="eastAsia" w:ascii="宋体" w:hAnsi="宋体"/>
                <w:sz w:val="21"/>
                <w:lang w:val="en-US" w:eastAsia="zh-CN"/>
              </w:rPr>
              <w:t>签名</w:t>
            </w:r>
            <w:r>
              <w:rPr>
                <w:rFonts w:hint="eastAsia" w:ascii="宋体" w:hAnsi="宋体"/>
                <w:sz w:val="21"/>
              </w:rPr>
              <w:t>：</w:t>
            </w:r>
            <w:r>
              <w:rPr>
                <w:rFonts w:hint="eastAsia" w:ascii="宋体" w:hAnsi="宋体"/>
                <w:sz w:val="21"/>
                <w:u w:val="single"/>
              </w:rPr>
              <w:t xml:space="preserve"> </w:t>
            </w:r>
            <w:r>
              <w:rPr>
                <w:rFonts w:ascii="宋体" w:hAnsi="宋体"/>
                <w:sz w:val="21"/>
                <w:u w:val="single"/>
              </w:rPr>
              <w:t xml:space="preserve">              </w:t>
            </w:r>
          </w:p>
          <w:p>
            <w:pPr>
              <w:adjustRightInd w:val="0"/>
              <w:snapToGrid w:val="0"/>
              <w:jc w:val="center"/>
              <w:rPr>
                <w:rFonts w:hint="eastAsia" w:ascii="宋体" w:hAnsi="宋体"/>
                <w:sz w:val="21"/>
                <w:lang w:val="en-US" w:eastAsia="zh-CN"/>
              </w:rPr>
            </w:pPr>
            <w:r>
              <w:rPr>
                <w:rFonts w:hint="eastAsia" w:ascii="宋体" w:hAnsi="宋体"/>
                <w:sz w:val="21"/>
                <w:lang w:val="en-US" w:eastAsia="zh-CN"/>
              </w:rPr>
              <w:t xml:space="preserve">   </w:t>
            </w:r>
            <w:r>
              <w:rPr>
                <w:rFonts w:hint="eastAsia" w:ascii="宋体" w:hAnsi="宋体"/>
                <w:sz w:val="21"/>
              </w:rPr>
              <w:t>日期：</w:t>
            </w:r>
            <w:r>
              <w:rPr>
                <w:rFonts w:hint="eastAsia" w:ascii="宋体" w:hAnsi="宋体"/>
                <w:sz w:val="21"/>
                <w:u w:val="single"/>
              </w:rPr>
              <w:t xml:space="preserve"> </w:t>
            </w:r>
            <w:r>
              <w:rPr>
                <w:rFonts w:ascii="宋体" w:hAnsi="宋体"/>
                <w:sz w:val="21"/>
                <w:u w:val="single"/>
              </w:rPr>
              <w:t xml:space="preserve">              </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eastAsiaTheme="minorEastAsia"/>
          <w:highlight w:val="none"/>
          <w:lang w:eastAsia="zh-CN"/>
        </w:rPr>
      </w:pPr>
      <w:r>
        <w:rPr>
          <w:rFonts w:hint="eastAsia" w:ascii="宋体" w:hAnsi="宋体"/>
          <w:sz w:val="21"/>
          <w:szCs w:val="24"/>
        </w:rPr>
        <w:t>注：本表一式</w:t>
      </w:r>
      <w:r>
        <w:rPr>
          <w:rFonts w:hint="eastAsia" w:ascii="宋体" w:hAnsi="宋体"/>
          <w:sz w:val="21"/>
          <w:szCs w:val="24"/>
          <w:lang w:val="en-US" w:eastAsia="zh-CN"/>
        </w:rPr>
        <w:t>六</w:t>
      </w:r>
      <w:r>
        <w:rPr>
          <w:rFonts w:hint="eastAsia" w:ascii="宋体" w:hAnsi="宋体"/>
          <w:sz w:val="21"/>
          <w:szCs w:val="24"/>
        </w:rPr>
        <w:t>份，经项目监理机构审核后，</w:t>
      </w:r>
      <w:r>
        <w:rPr>
          <w:rFonts w:hint="eastAsia" w:asciiTheme="minorEastAsia" w:hAnsiTheme="minorEastAsia" w:eastAsiaTheme="minorEastAsia" w:cstheme="minorEastAsia"/>
          <w:sz w:val="21"/>
          <w:szCs w:val="21"/>
          <w:lang w:val="en-US" w:eastAsia="zh-CN"/>
        </w:rPr>
        <w:t>移交</w:t>
      </w:r>
      <w:r>
        <w:rPr>
          <w:rFonts w:hint="eastAsia" w:ascii="宋体" w:hAnsi="宋体"/>
          <w:sz w:val="21"/>
          <w:szCs w:val="24"/>
        </w:rPr>
        <w:t>监理单位、</w:t>
      </w:r>
      <w:r>
        <w:rPr>
          <w:rFonts w:hint="eastAsia" w:asciiTheme="minorEastAsia" w:hAnsiTheme="minorEastAsia" w:eastAsiaTheme="minorEastAsia" w:cstheme="minorEastAsia"/>
          <w:sz w:val="21"/>
          <w:szCs w:val="21"/>
          <w:lang w:val="en-US" w:eastAsia="zh-CN"/>
        </w:rPr>
        <w:t>接受监理单位意见、</w:t>
      </w:r>
      <w:r>
        <w:rPr>
          <w:rFonts w:hint="eastAsia" w:ascii="宋体" w:hAnsi="宋体"/>
          <w:sz w:val="21"/>
          <w:szCs w:val="24"/>
        </w:rPr>
        <w:t>总包</w:t>
      </w:r>
      <w:r>
        <w:rPr>
          <w:rFonts w:hint="eastAsia" w:ascii="宋体" w:hAnsi="宋体"/>
          <w:sz w:val="21"/>
          <w:szCs w:val="24"/>
          <w:lang w:val="en-US" w:eastAsia="zh-CN"/>
        </w:rPr>
        <w:t>移交</w:t>
      </w:r>
      <w:r>
        <w:rPr>
          <w:rFonts w:hint="eastAsia" w:ascii="宋体" w:hAnsi="宋体"/>
          <w:sz w:val="21"/>
          <w:szCs w:val="24"/>
        </w:rPr>
        <w:t>单位</w:t>
      </w:r>
      <w:r>
        <w:rPr>
          <w:rFonts w:hint="eastAsia" w:ascii="宋体" w:hAnsi="宋体"/>
          <w:sz w:val="21"/>
          <w:szCs w:val="24"/>
          <w:lang w:val="en-US" w:eastAsia="zh-CN"/>
        </w:rPr>
        <w:t>、总包接受单位</w:t>
      </w:r>
      <w:r>
        <w:rPr>
          <w:rFonts w:hint="eastAsia" w:ascii="宋体" w:hAnsi="宋体"/>
          <w:sz w:val="21"/>
          <w:szCs w:val="24"/>
          <w:lang w:eastAsia="zh-CN"/>
        </w:rPr>
        <w:t>、</w:t>
      </w:r>
      <w:r>
        <w:rPr>
          <w:rFonts w:hint="eastAsia" w:asciiTheme="minorEastAsia" w:hAnsiTheme="minorEastAsia" w:eastAsiaTheme="minorEastAsia" w:cstheme="minorEastAsia"/>
          <w:sz w:val="21"/>
          <w:szCs w:val="21"/>
          <w:lang w:val="en-US" w:eastAsia="zh-CN"/>
        </w:rPr>
        <w:t>移交单位、接受单位</w:t>
      </w:r>
      <w:r>
        <w:rPr>
          <w:rFonts w:hint="eastAsia" w:ascii="宋体" w:hAnsi="宋体"/>
          <w:sz w:val="21"/>
          <w:szCs w:val="24"/>
        </w:rPr>
        <w:t>各存一份。</w:t>
      </w:r>
    </w:p>
    <w:sectPr>
      <w:pgSz w:w="11906" w:h="16838"/>
      <w:pgMar w:top="1440" w:right="1588" w:bottom="1440" w:left="1797"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丛德威" w:date="2020-08-23T09:18:41Z" w:initials="丛">
    <w:p>
      <w:pPr>
        <w:pStyle w:val="7"/>
        <w:rPr>
          <w:rFonts w:hint="default" w:eastAsiaTheme="minorEastAsia"/>
          <w:lang w:val="en-US" w:eastAsia="zh-CN"/>
        </w:rPr>
      </w:pPr>
      <w:r>
        <w:rPr>
          <w:rFonts w:hint="eastAsia"/>
          <w:lang w:val="en-US" w:eastAsia="zh-CN"/>
        </w:rPr>
        <w:t>机电部提进场需求</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Microsoft JhengHei">
    <w:panose1 w:val="020B0604030504040204"/>
    <w:charset w:val="88"/>
    <w:family w:val="swiss"/>
    <w:pitch w:val="default"/>
    <w:sig w:usb0="00000087" w:usb1="28AF4000" w:usb2="00000016" w:usb3="00000000" w:csb0="00100009" w:csb1="00000000"/>
  </w:font>
  <w:font w:name="长城楷体">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等线 Light">
    <w:altName w:val="宋体"/>
    <w:panose1 w:val="02010600030101010101"/>
    <w:charset w:val="86"/>
    <w:family w:val="auto"/>
    <w:pitch w:val="default"/>
    <w:sig w:usb0="00000000" w:usb1="00000000" w:usb2="00000016" w:usb3="00000000" w:csb0="0004000F" w:csb1="00000000"/>
  </w:font>
  <w:font w:name="Microsoft Uighur">
    <w:panose1 w:val="02000000000000000000"/>
    <w:charset w:val="00"/>
    <w:family w:val="auto"/>
    <w:pitch w:val="default"/>
    <w:sig w:usb0="00002003" w:usb1="80000000" w:usb2="00000008" w:usb3="00000000" w:csb0="00000041"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CG Times">
    <w:altName w:val="Traditional Arabic"/>
    <w:panose1 w:val="02020603050405020304"/>
    <w:charset w:val="00"/>
    <w:family w:val="auto"/>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0C"/>
    <w:rsid w:val="000131BB"/>
    <w:rsid w:val="00013D29"/>
    <w:rsid w:val="00024261"/>
    <w:rsid w:val="00024AFD"/>
    <w:rsid w:val="00027C44"/>
    <w:rsid w:val="00051DF3"/>
    <w:rsid w:val="00054426"/>
    <w:rsid w:val="00077B47"/>
    <w:rsid w:val="000A078B"/>
    <w:rsid w:val="000A510C"/>
    <w:rsid w:val="000B5441"/>
    <w:rsid w:val="000D790F"/>
    <w:rsid w:val="000E3D72"/>
    <w:rsid w:val="000E7AFA"/>
    <w:rsid w:val="000F460B"/>
    <w:rsid w:val="000F6D7A"/>
    <w:rsid w:val="0010357E"/>
    <w:rsid w:val="00113AF1"/>
    <w:rsid w:val="001172B0"/>
    <w:rsid w:val="0012459C"/>
    <w:rsid w:val="001422E7"/>
    <w:rsid w:val="00150750"/>
    <w:rsid w:val="00174490"/>
    <w:rsid w:val="00186030"/>
    <w:rsid w:val="00191C78"/>
    <w:rsid w:val="00192891"/>
    <w:rsid w:val="00194D6E"/>
    <w:rsid w:val="001B7469"/>
    <w:rsid w:val="001C46D4"/>
    <w:rsid w:val="001E4DC8"/>
    <w:rsid w:val="00200185"/>
    <w:rsid w:val="00211FCA"/>
    <w:rsid w:val="00212D7D"/>
    <w:rsid w:val="00217E5D"/>
    <w:rsid w:val="00242382"/>
    <w:rsid w:val="0026296D"/>
    <w:rsid w:val="00266A3A"/>
    <w:rsid w:val="00266F32"/>
    <w:rsid w:val="00277268"/>
    <w:rsid w:val="00277D64"/>
    <w:rsid w:val="00283043"/>
    <w:rsid w:val="00283843"/>
    <w:rsid w:val="00283851"/>
    <w:rsid w:val="00291174"/>
    <w:rsid w:val="00291945"/>
    <w:rsid w:val="002A60E8"/>
    <w:rsid w:val="002C4FBB"/>
    <w:rsid w:val="002D67C2"/>
    <w:rsid w:val="002F3694"/>
    <w:rsid w:val="00302486"/>
    <w:rsid w:val="00334C04"/>
    <w:rsid w:val="00357F80"/>
    <w:rsid w:val="00362C40"/>
    <w:rsid w:val="00384526"/>
    <w:rsid w:val="003957B5"/>
    <w:rsid w:val="00396DE3"/>
    <w:rsid w:val="003A0674"/>
    <w:rsid w:val="003A624B"/>
    <w:rsid w:val="003D4EC7"/>
    <w:rsid w:val="003F48D1"/>
    <w:rsid w:val="00403F75"/>
    <w:rsid w:val="00437269"/>
    <w:rsid w:val="00445637"/>
    <w:rsid w:val="00455333"/>
    <w:rsid w:val="004600E6"/>
    <w:rsid w:val="00485527"/>
    <w:rsid w:val="00493C47"/>
    <w:rsid w:val="004A0848"/>
    <w:rsid w:val="004A3529"/>
    <w:rsid w:val="004A4098"/>
    <w:rsid w:val="004B4389"/>
    <w:rsid w:val="004C35CE"/>
    <w:rsid w:val="004E71C2"/>
    <w:rsid w:val="004F3DB3"/>
    <w:rsid w:val="005032DF"/>
    <w:rsid w:val="005073CC"/>
    <w:rsid w:val="00525787"/>
    <w:rsid w:val="00531DE9"/>
    <w:rsid w:val="005334F0"/>
    <w:rsid w:val="00546412"/>
    <w:rsid w:val="0055500F"/>
    <w:rsid w:val="00557F21"/>
    <w:rsid w:val="005654F2"/>
    <w:rsid w:val="0057436A"/>
    <w:rsid w:val="005864E0"/>
    <w:rsid w:val="00587D4B"/>
    <w:rsid w:val="005A43DB"/>
    <w:rsid w:val="005A5B29"/>
    <w:rsid w:val="005D2A9C"/>
    <w:rsid w:val="005D5C1C"/>
    <w:rsid w:val="005D74A7"/>
    <w:rsid w:val="005D78AF"/>
    <w:rsid w:val="005F011F"/>
    <w:rsid w:val="006160C9"/>
    <w:rsid w:val="0062081A"/>
    <w:rsid w:val="00634A14"/>
    <w:rsid w:val="00636C4A"/>
    <w:rsid w:val="0065256C"/>
    <w:rsid w:val="00653238"/>
    <w:rsid w:val="00680105"/>
    <w:rsid w:val="00680D92"/>
    <w:rsid w:val="00690CCE"/>
    <w:rsid w:val="0069645C"/>
    <w:rsid w:val="006A4E30"/>
    <w:rsid w:val="006B43E0"/>
    <w:rsid w:val="006C66FC"/>
    <w:rsid w:val="006D1D01"/>
    <w:rsid w:val="006F2D52"/>
    <w:rsid w:val="0070269E"/>
    <w:rsid w:val="00715055"/>
    <w:rsid w:val="00721B55"/>
    <w:rsid w:val="00726FAE"/>
    <w:rsid w:val="00740535"/>
    <w:rsid w:val="007536A1"/>
    <w:rsid w:val="00761688"/>
    <w:rsid w:val="00791997"/>
    <w:rsid w:val="007A4864"/>
    <w:rsid w:val="007B1DB3"/>
    <w:rsid w:val="007B382F"/>
    <w:rsid w:val="007F1F63"/>
    <w:rsid w:val="007F58A7"/>
    <w:rsid w:val="00802BFD"/>
    <w:rsid w:val="008118CA"/>
    <w:rsid w:val="00817422"/>
    <w:rsid w:val="00873457"/>
    <w:rsid w:val="0088027C"/>
    <w:rsid w:val="00884DE2"/>
    <w:rsid w:val="008A627F"/>
    <w:rsid w:val="008B54C8"/>
    <w:rsid w:val="008B6487"/>
    <w:rsid w:val="008C6A04"/>
    <w:rsid w:val="008E0AE8"/>
    <w:rsid w:val="008F0609"/>
    <w:rsid w:val="008F2CB5"/>
    <w:rsid w:val="00903444"/>
    <w:rsid w:val="00940106"/>
    <w:rsid w:val="00951318"/>
    <w:rsid w:val="009647EC"/>
    <w:rsid w:val="00981236"/>
    <w:rsid w:val="00981724"/>
    <w:rsid w:val="0099389C"/>
    <w:rsid w:val="009A2111"/>
    <w:rsid w:val="009F2F4F"/>
    <w:rsid w:val="009F4D76"/>
    <w:rsid w:val="009F6F1E"/>
    <w:rsid w:val="00A04248"/>
    <w:rsid w:val="00A066D6"/>
    <w:rsid w:val="00A07315"/>
    <w:rsid w:val="00A235D6"/>
    <w:rsid w:val="00A26B1F"/>
    <w:rsid w:val="00A37E69"/>
    <w:rsid w:val="00A55896"/>
    <w:rsid w:val="00A81837"/>
    <w:rsid w:val="00AA0A41"/>
    <w:rsid w:val="00AA37C4"/>
    <w:rsid w:val="00AA76CB"/>
    <w:rsid w:val="00AB0C60"/>
    <w:rsid w:val="00AB4573"/>
    <w:rsid w:val="00AD7C60"/>
    <w:rsid w:val="00AE36E9"/>
    <w:rsid w:val="00AF6C24"/>
    <w:rsid w:val="00B006D6"/>
    <w:rsid w:val="00B05908"/>
    <w:rsid w:val="00B54D4E"/>
    <w:rsid w:val="00B55834"/>
    <w:rsid w:val="00B8041A"/>
    <w:rsid w:val="00B865FB"/>
    <w:rsid w:val="00B92725"/>
    <w:rsid w:val="00B92D83"/>
    <w:rsid w:val="00BA7034"/>
    <w:rsid w:val="00BE20FB"/>
    <w:rsid w:val="00BE230E"/>
    <w:rsid w:val="00BF6094"/>
    <w:rsid w:val="00C038D9"/>
    <w:rsid w:val="00C233A0"/>
    <w:rsid w:val="00C30DE9"/>
    <w:rsid w:val="00C41BC7"/>
    <w:rsid w:val="00C54BA5"/>
    <w:rsid w:val="00C663D1"/>
    <w:rsid w:val="00C81992"/>
    <w:rsid w:val="00C9011F"/>
    <w:rsid w:val="00C90555"/>
    <w:rsid w:val="00C90B17"/>
    <w:rsid w:val="00C91974"/>
    <w:rsid w:val="00CB19D1"/>
    <w:rsid w:val="00CC0075"/>
    <w:rsid w:val="00CE441E"/>
    <w:rsid w:val="00CF0131"/>
    <w:rsid w:val="00CF1DFD"/>
    <w:rsid w:val="00D02199"/>
    <w:rsid w:val="00D05069"/>
    <w:rsid w:val="00D062F5"/>
    <w:rsid w:val="00D07EAA"/>
    <w:rsid w:val="00D14528"/>
    <w:rsid w:val="00D367D0"/>
    <w:rsid w:val="00D510EE"/>
    <w:rsid w:val="00D61395"/>
    <w:rsid w:val="00D62779"/>
    <w:rsid w:val="00D96370"/>
    <w:rsid w:val="00DC0517"/>
    <w:rsid w:val="00DC060D"/>
    <w:rsid w:val="00DC1A2C"/>
    <w:rsid w:val="00DE1EDF"/>
    <w:rsid w:val="00E00A53"/>
    <w:rsid w:val="00E26C42"/>
    <w:rsid w:val="00E3625F"/>
    <w:rsid w:val="00E448AA"/>
    <w:rsid w:val="00E506C0"/>
    <w:rsid w:val="00E52960"/>
    <w:rsid w:val="00E641A3"/>
    <w:rsid w:val="00E72E0E"/>
    <w:rsid w:val="00EA4118"/>
    <w:rsid w:val="00EB1ECB"/>
    <w:rsid w:val="00EB7D9B"/>
    <w:rsid w:val="00EC3E48"/>
    <w:rsid w:val="00ED4FE9"/>
    <w:rsid w:val="00F20E78"/>
    <w:rsid w:val="00F227FE"/>
    <w:rsid w:val="00F27AFE"/>
    <w:rsid w:val="00F5218E"/>
    <w:rsid w:val="00F5572F"/>
    <w:rsid w:val="00F55AF5"/>
    <w:rsid w:val="00F728AE"/>
    <w:rsid w:val="00F74F54"/>
    <w:rsid w:val="00F76216"/>
    <w:rsid w:val="00F77191"/>
    <w:rsid w:val="00F96A60"/>
    <w:rsid w:val="00FA5471"/>
    <w:rsid w:val="00FA5A1E"/>
    <w:rsid w:val="00FA663B"/>
    <w:rsid w:val="00FB2D43"/>
    <w:rsid w:val="00FB2EB1"/>
    <w:rsid w:val="00FD1D8A"/>
    <w:rsid w:val="00FD6466"/>
    <w:rsid w:val="00FE26CA"/>
    <w:rsid w:val="00FE716C"/>
    <w:rsid w:val="00FE78FC"/>
    <w:rsid w:val="00FF3950"/>
    <w:rsid w:val="00FF7BA0"/>
    <w:rsid w:val="0DD377B2"/>
    <w:rsid w:val="210F4582"/>
    <w:rsid w:val="238E7C45"/>
    <w:rsid w:val="2F27485B"/>
    <w:rsid w:val="3CA74CEE"/>
    <w:rsid w:val="41B60E25"/>
    <w:rsid w:val="478306B1"/>
    <w:rsid w:val="516D4B0B"/>
    <w:rsid w:val="55455D1E"/>
    <w:rsid w:val="578E3831"/>
    <w:rsid w:val="6D6E43A2"/>
    <w:rsid w:val="70CB75AE"/>
    <w:rsid w:val="73436B92"/>
    <w:rsid w:val="7E9326B1"/>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1"/>
    <w:qFormat/>
    <w:uiPriority w:val="9"/>
    <w:pPr>
      <w:keepNext/>
      <w:keepLines/>
      <w:spacing w:before="120" w:after="240" w:line="578" w:lineRule="auto"/>
      <w:jc w:val="center"/>
      <w:outlineLvl w:val="0"/>
    </w:pPr>
    <w:rPr>
      <w:b/>
      <w:bCs/>
      <w:kern w:val="44"/>
      <w:sz w:val="28"/>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qFormat/>
    <w:uiPriority w:val="9"/>
    <w:pPr>
      <w:widowControl/>
      <w:spacing w:before="260" w:after="260" w:line="415" w:lineRule="auto"/>
      <w:outlineLvl w:val="2"/>
    </w:pPr>
    <w:rPr>
      <w:rFonts w:ascii="宋体" w:hAnsi="宋体" w:eastAsia="宋体" w:cs="宋体"/>
      <w:b/>
      <w:bCs/>
      <w:kern w:val="0"/>
      <w:sz w:val="32"/>
      <w:szCs w:val="32"/>
    </w:rPr>
  </w:style>
  <w:style w:type="character" w:default="1" w:styleId="21">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customStyle="1" w:styleId="2">
    <w:name w:val="首行缩进正文"/>
    <w:basedOn w:val="1"/>
    <w:qFormat/>
    <w:uiPriority w:val="99"/>
    <w:pPr>
      <w:spacing w:line="600" w:lineRule="exact"/>
    </w:pPr>
    <w:rPr>
      <w:rFonts w:eastAsia="仿宋"/>
      <w:sz w:val="30"/>
      <w:szCs w:val="20"/>
      <w:lang w:bidi="he-IL"/>
    </w:rPr>
  </w:style>
  <w:style w:type="paragraph" w:styleId="6">
    <w:name w:val="annotation subject"/>
    <w:basedOn w:val="7"/>
    <w:next w:val="7"/>
    <w:link w:val="34"/>
    <w:unhideWhenUsed/>
    <w:qFormat/>
    <w:uiPriority w:val="99"/>
    <w:rPr>
      <w:b/>
      <w:bCs/>
    </w:rPr>
  </w:style>
  <w:style w:type="paragraph" w:styleId="7">
    <w:name w:val="annotation text"/>
    <w:basedOn w:val="1"/>
    <w:link w:val="33"/>
    <w:unhideWhenUsed/>
    <w:qFormat/>
    <w:uiPriority w:val="99"/>
    <w:pPr>
      <w:jc w:val="left"/>
    </w:pPr>
  </w:style>
  <w:style w:type="paragraph" w:styleId="8">
    <w:name w:val="toc 7"/>
    <w:basedOn w:val="1"/>
    <w:next w:val="1"/>
    <w:unhideWhenUsed/>
    <w:qFormat/>
    <w:uiPriority w:val="39"/>
    <w:pPr>
      <w:ind w:left="1260"/>
      <w:jc w:val="left"/>
    </w:pPr>
    <w:rPr>
      <w:sz w:val="18"/>
      <w:szCs w:val="18"/>
    </w:rPr>
  </w:style>
  <w:style w:type="paragraph" w:styleId="9">
    <w:name w:val="Document Map"/>
    <w:basedOn w:val="1"/>
    <w:link w:val="35"/>
    <w:unhideWhenUsed/>
    <w:qFormat/>
    <w:uiPriority w:val="99"/>
    <w:rPr>
      <w:rFonts w:ascii="宋体" w:eastAsia="宋体"/>
      <w:sz w:val="18"/>
      <w:szCs w:val="18"/>
    </w:rPr>
  </w:style>
  <w:style w:type="paragraph" w:styleId="10">
    <w:name w:val="toc 5"/>
    <w:basedOn w:val="1"/>
    <w:next w:val="1"/>
    <w:unhideWhenUsed/>
    <w:qFormat/>
    <w:uiPriority w:val="39"/>
    <w:pPr>
      <w:ind w:left="840"/>
      <w:jc w:val="left"/>
    </w:pPr>
    <w:rPr>
      <w:sz w:val="18"/>
      <w:szCs w:val="18"/>
    </w:rPr>
  </w:style>
  <w:style w:type="paragraph" w:styleId="11">
    <w:name w:val="toc 3"/>
    <w:basedOn w:val="1"/>
    <w:next w:val="1"/>
    <w:unhideWhenUsed/>
    <w:qFormat/>
    <w:uiPriority w:val="39"/>
    <w:pPr>
      <w:ind w:left="420"/>
      <w:jc w:val="left"/>
    </w:pPr>
    <w:rPr>
      <w:i/>
      <w:iCs/>
      <w:sz w:val="20"/>
      <w:szCs w:val="20"/>
    </w:rPr>
  </w:style>
  <w:style w:type="paragraph" w:styleId="12">
    <w:name w:val="toc 8"/>
    <w:basedOn w:val="1"/>
    <w:next w:val="1"/>
    <w:unhideWhenUsed/>
    <w:qFormat/>
    <w:uiPriority w:val="39"/>
    <w:pPr>
      <w:ind w:left="1470"/>
      <w:jc w:val="left"/>
    </w:pPr>
    <w:rPr>
      <w:sz w:val="18"/>
      <w:szCs w:val="18"/>
    </w:rPr>
  </w:style>
  <w:style w:type="paragraph" w:styleId="13">
    <w:name w:val="Balloon Text"/>
    <w:basedOn w:val="1"/>
    <w:link w:val="30"/>
    <w:unhideWhenUsed/>
    <w:qFormat/>
    <w:uiPriority w:val="99"/>
    <w:rPr>
      <w:sz w:val="18"/>
      <w:szCs w:val="18"/>
    </w:rPr>
  </w:style>
  <w:style w:type="paragraph" w:styleId="14">
    <w:name w:val="footer"/>
    <w:basedOn w:val="1"/>
    <w:link w:val="27"/>
    <w:unhideWhenUsed/>
    <w:qFormat/>
    <w:uiPriority w:val="99"/>
    <w:pPr>
      <w:tabs>
        <w:tab w:val="center" w:pos="4153"/>
        <w:tab w:val="right" w:pos="8306"/>
      </w:tabs>
      <w:snapToGrid w:val="0"/>
      <w:jc w:val="left"/>
    </w:pPr>
    <w:rPr>
      <w:sz w:val="18"/>
      <w:szCs w:val="18"/>
    </w:rPr>
  </w:style>
  <w:style w:type="paragraph" w:styleId="15">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120" w:after="120"/>
      <w:jc w:val="left"/>
    </w:pPr>
    <w:rPr>
      <w:b/>
      <w:bCs/>
      <w:caps/>
      <w:sz w:val="20"/>
      <w:szCs w:val="20"/>
    </w:rPr>
  </w:style>
  <w:style w:type="paragraph" w:styleId="17">
    <w:name w:val="toc 4"/>
    <w:basedOn w:val="1"/>
    <w:next w:val="1"/>
    <w:unhideWhenUsed/>
    <w:qFormat/>
    <w:uiPriority w:val="39"/>
    <w:pPr>
      <w:ind w:left="630"/>
      <w:jc w:val="left"/>
    </w:pPr>
    <w:rPr>
      <w:sz w:val="18"/>
      <w:szCs w:val="18"/>
    </w:rPr>
  </w:style>
  <w:style w:type="paragraph" w:styleId="18">
    <w:name w:val="toc 6"/>
    <w:basedOn w:val="1"/>
    <w:next w:val="1"/>
    <w:unhideWhenUsed/>
    <w:qFormat/>
    <w:uiPriority w:val="39"/>
    <w:pPr>
      <w:ind w:left="1050"/>
      <w:jc w:val="left"/>
    </w:pPr>
    <w:rPr>
      <w:sz w:val="18"/>
      <w:szCs w:val="18"/>
    </w:rPr>
  </w:style>
  <w:style w:type="paragraph" w:styleId="19">
    <w:name w:val="toc 2"/>
    <w:basedOn w:val="1"/>
    <w:next w:val="1"/>
    <w:unhideWhenUsed/>
    <w:qFormat/>
    <w:uiPriority w:val="39"/>
    <w:pPr>
      <w:ind w:left="210"/>
      <w:jc w:val="left"/>
    </w:pPr>
    <w:rPr>
      <w:smallCaps/>
      <w:sz w:val="20"/>
      <w:szCs w:val="20"/>
    </w:rPr>
  </w:style>
  <w:style w:type="paragraph" w:styleId="20">
    <w:name w:val="toc 9"/>
    <w:basedOn w:val="1"/>
    <w:next w:val="1"/>
    <w:unhideWhenUsed/>
    <w:qFormat/>
    <w:uiPriority w:val="39"/>
    <w:pPr>
      <w:ind w:left="1680"/>
      <w:jc w:val="left"/>
    </w:pPr>
    <w:rPr>
      <w:sz w:val="18"/>
      <w:szCs w:val="18"/>
    </w:rPr>
  </w:style>
  <w:style w:type="character" w:styleId="22">
    <w:name w:val="Hyperlink"/>
    <w:basedOn w:val="21"/>
    <w:unhideWhenUsed/>
    <w:qFormat/>
    <w:uiPriority w:val="99"/>
    <w:rPr>
      <w:color w:val="0000FF" w:themeColor="hyperlink"/>
      <w:u w:val="single"/>
      <w14:textFill>
        <w14:solidFill>
          <w14:schemeClr w14:val="hlink"/>
        </w14:solidFill>
      </w14:textFill>
    </w:rPr>
  </w:style>
  <w:style w:type="character" w:styleId="23">
    <w:name w:val="annotation reference"/>
    <w:basedOn w:val="21"/>
    <w:unhideWhenUsed/>
    <w:qFormat/>
    <w:uiPriority w:val="99"/>
    <w:rPr>
      <w:sz w:val="21"/>
      <w:szCs w:val="21"/>
    </w:rPr>
  </w:style>
  <w:style w:type="table" w:styleId="25">
    <w:name w:val="Table Grid"/>
    <w:basedOn w:val="2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6">
    <w:name w:val="页眉 Char"/>
    <w:basedOn w:val="21"/>
    <w:link w:val="15"/>
    <w:qFormat/>
    <w:uiPriority w:val="99"/>
    <w:rPr>
      <w:sz w:val="18"/>
      <w:szCs w:val="18"/>
    </w:rPr>
  </w:style>
  <w:style w:type="character" w:customStyle="1" w:styleId="27">
    <w:name w:val="页脚 Char"/>
    <w:basedOn w:val="21"/>
    <w:link w:val="14"/>
    <w:qFormat/>
    <w:uiPriority w:val="99"/>
    <w:rPr>
      <w:sz w:val="18"/>
      <w:szCs w:val="18"/>
    </w:rPr>
  </w:style>
  <w:style w:type="character" w:customStyle="1" w:styleId="28">
    <w:name w:val="标题 3 Char"/>
    <w:basedOn w:val="21"/>
    <w:link w:val="5"/>
    <w:qFormat/>
    <w:uiPriority w:val="9"/>
    <w:rPr>
      <w:rFonts w:ascii="宋体" w:hAnsi="宋体" w:eastAsia="宋体" w:cs="宋体"/>
      <w:b/>
      <w:bCs/>
      <w:kern w:val="0"/>
      <w:sz w:val="32"/>
      <w:szCs w:val="32"/>
    </w:rPr>
  </w:style>
  <w:style w:type="paragraph" w:customStyle="1" w:styleId="29">
    <w:name w:val="p0"/>
    <w:basedOn w:val="1"/>
    <w:qFormat/>
    <w:uiPriority w:val="0"/>
    <w:pPr>
      <w:widowControl/>
    </w:pPr>
    <w:rPr>
      <w:rFonts w:ascii="宋体" w:hAnsi="宋体" w:eastAsia="宋体" w:cs="宋体"/>
      <w:kern w:val="0"/>
      <w:szCs w:val="21"/>
    </w:rPr>
  </w:style>
  <w:style w:type="character" w:customStyle="1" w:styleId="30">
    <w:name w:val="批注框文本 Char"/>
    <w:basedOn w:val="21"/>
    <w:link w:val="13"/>
    <w:semiHidden/>
    <w:qFormat/>
    <w:uiPriority w:val="99"/>
    <w:rPr>
      <w:sz w:val="18"/>
      <w:szCs w:val="18"/>
    </w:rPr>
  </w:style>
  <w:style w:type="character" w:customStyle="1" w:styleId="31">
    <w:name w:val="标题 1 Char"/>
    <w:basedOn w:val="21"/>
    <w:link w:val="3"/>
    <w:qFormat/>
    <w:uiPriority w:val="9"/>
    <w:rPr>
      <w:b/>
      <w:bCs/>
      <w:kern w:val="44"/>
      <w:sz w:val="28"/>
      <w:szCs w:val="44"/>
    </w:rPr>
  </w:style>
  <w:style w:type="character" w:customStyle="1" w:styleId="32">
    <w:name w:val="标题 2 Char"/>
    <w:basedOn w:val="21"/>
    <w:link w:val="4"/>
    <w:semiHidden/>
    <w:qFormat/>
    <w:uiPriority w:val="9"/>
    <w:rPr>
      <w:rFonts w:asciiTheme="majorHAnsi" w:hAnsiTheme="majorHAnsi" w:eastAsiaTheme="majorEastAsia" w:cstheme="majorBidi"/>
      <w:b/>
      <w:bCs/>
      <w:sz w:val="32"/>
      <w:szCs w:val="32"/>
    </w:rPr>
  </w:style>
  <w:style w:type="character" w:customStyle="1" w:styleId="33">
    <w:name w:val="批注文字 Char"/>
    <w:basedOn w:val="21"/>
    <w:link w:val="7"/>
    <w:semiHidden/>
    <w:qFormat/>
    <w:uiPriority w:val="99"/>
  </w:style>
  <w:style w:type="character" w:customStyle="1" w:styleId="34">
    <w:name w:val="批注主题 Char"/>
    <w:basedOn w:val="33"/>
    <w:link w:val="6"/>
    <w:semiHidden/>
    <w:qFormat/>
    <w:uiPriority w:val="99"/>
    <w:rPr>
      <w:b/>
      <w:bCs/>
    </w:rPr>
  </w:style>
  <w:style w:type="character" w:customStyle="1" w:styleId="35">
    <w:name w:val="文档结构图 Char"/>
    <w:basedOn w:val="21"/>
    <w:link w:val="9"/>
    <w:semiHidden/>
    <w:qFormat/>
    <w:uiPriority w:val="99"/>
    <w:rPr>
      <w:rFonts w:ascii="宋体" w:eastAsia="宋体"/>
      <w:sz w:val="18"/>
      <w:szCs w:val="18"/>
    </w:rPr>
  </w:style>
  <w:style w:type="paragraph" w:customStyle="1" w:styleId="36">
    <w:name w:val="TOC Heading"/>
    <w:basedOn w:val="3"/>
    <w:next w:val="1"/>
    <w:unhideWhenUsed/>
    <w:qFormat/>
    <w:uiPriority w:val="39"/>
    <w:pPr>
      <w:widowControl/>
      <w:spacing w:before="480" w:after="0" w:line="276" w:lineRule="auto"/>
      <w:ind w:firstLine="0" w:firstLineChars="0"/>
      <w:jc w:val="left"/>
      <w:outlineLvl w:val="9"/>
    </w:pPr>
    <w:rPr>
      <w:rFonts w:asciiTheme="majorHAnsi" w:hAnsiTheme="majorHAnsi" w:eastAsiaTheme="majorEastAsia" w:cstheme="majorBidi"/>
      <w:color w:val="376092" w:themeColor="accent1" w:themeShade="BF"/>
      <w:kern w:val="0"/>
      <w:szCs w:val="28"/>
    </w:rPr>
  </w:style>
  <w:style w:type="paragraph" w:customStyle="1" w:styleId="37">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comments" Target="comment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5C1E34-2B28-4DFF-8AC0-EACF2B0DF79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444</Words>
  <Characters>2536</Characters>
  <Lines>21</Lines>
  <Paragraphs>5</Paragraphs>
  <ScaleCrop>false</ScaleCrop>
  <LinksUpToDate>false</LinksUpToDate>
  <CharactersWithSpaces>2975</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2014-11-17T02:00:00Z</dcterms:created>
  <dc:creator>Administrator</dc:creator>
  <cp:lastModifiedBy>刘文涛</cp:lastModifiedBy>
  <cp:lastPrinted>2016-07-05T00:49:00Z</cp:lastPrinted>
  <dcterms:modified xsi:type="dcterms:W3CDTF">2020-10-12T06:43:41Z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