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16" w:firstLineChars="100"/>
      </w:pPr>
    </w:p>
    <w:p>
      <w:pPr>
        <w:spacing w:line="610" w:lineRule="exact"/>
        <w:ind w:firstLine="316" w:firstLineChars="100"/>
      </w:pPr>
    </w:p>
    <w:p>
      <w:pPr>
        <w:spacing w:line="610" w:lineRule="exact"/>
        <w:ind w:firstLine="316" w:firstLineChars="100"/>
      </w:pPr>
    </w:p>
    <w:p>
      <w:pPr>
        <w:jc w:val="center"/>
        <w:rPr>
          <w:rFonts w:ascii="方正小标宋简体" w:eastAsia="方正小标宋简体"/>
          <w:color w:val="FF0000"/>
          <w:sz w:val="84"/>
        </w:rPr>
      </w:pPr>
      <w:r>
        <w:rPr>
          <w:rFonts w:hint="eastAsia" w:ascii="方正小标宋简体" w:eastAsia="方正小标宋简体"/>
          <w:color w:val="FF0000"/>
          <w:spacing w:val="10"/>
          <w:w w:val="75"/>
          <w:sz w:val="90"/>
        </w:rPr>
        <w:t>台州市人民政府办公室文</w:t>
      </w:r>
      <w:r>
        <w:rPr>
          <w:rFonts w:hint="eastAsia" w:ascii="方正小标宋简体" w:eastAsia="方正小标宋简体"/>
          <w:color w:val="FF0000"/>
          <w:w w:val="75"/>
          <w:sz w:val="90"/>
        </w:rPr>
        <w:t>件</w:t>
      </w:r>
    </w:p>
    <w:p>
      <w:pPr>
        <w:spacing w:afterLines="20"/>
      </w:pPr>
    </w:p>
    <w:p>
      <w:pPr>
        <w:tabs>
          <w:tab w:val="left" w:pos="2528"/>
          <w:tab w:val="left" w:pos="2844"/>
          <w:tab w:val="left" w:pos="7584"/>
          <w:tab w:val="left" w:pos="8374"/>
          <w:tab w:val="left" w:pos="8532"/>
        </w:tabs>
        <w:jc w:val="center"/>
      </w:pPr>
      <w:r>
        <w:rPr>
          <w:rFonts w:hint="eastAsia"/>
        </w:rPr>
        <w:t>台政办发〔</w:t>
      </w:r>
      <w:r>
        <w:t>20</w:t>
      </w:r>
      <w:r>
        <w:rPr>
          <w:rFonts w:hint="eastAsia"/>
        </w:rPr>
        <w:t>21〕52号</w:t>
      </w:r>
    </w:p>
    <w:p>
      <w:pPr>
        <w:spacing w:line="600" w:lineRule="exact"/>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27305</wp:posOffset>
                </wp:positionV>
                <wp:extent cx="5652135" cy="0"/>
                <wp:effectExtent l="0" t="13970" r="5715" b="24130"/>
                <wp:wrapNone/>
                <wp:docPr id="1" name="直线 6"/>
                <wp:cNvGraphicFramePr/>
                <a:graphic xmlns:a="http://schemas.openxmlformats.org/drawingml/2006/main">
                  <a:graphicData uri="http://schemas.microsoft.com/office/word/2010/wordprocessingShape">
                    <wps:wsp>
                      <wps:cNvSpPr/>
                      <wps:spPr>
                        <a:xfrm>
                          <a:off x="0" y="0"/>
                          <a:ext cx="565213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2.15pt;height:0pt;width:445.05pt;z-index:251659264;mso-width-relative:page;mso-height-relative:page;" filled="f" stroked="t" coordsize="21600,21600" o:gfxdata="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">
                <v:fill on="f" focussize="0,0"/>
                <v:stroke weight="2.25pt" color="#FF0000" joinstyle="round"/>
                <v:imagedata o:title=""/>
                <o:lock v:ext="edit" aspectratio="f"/>
              </v:line>
            </w:pict>
          </mc:Fallback>
        </mc:AlternateContent>
      </w:r>
    </w:p>
    <w:p>
      <w:pPr>
        <w:spacing w:line="600" w:lineRule="exact"/>
        <w:ind w:left="1240" w:leftChars="100" w:hanging="924" w:hangingChars="300"/>
        <w:jc w:val="left"/>
        <w:rPr>
          <w:spacing w:val="-4"/>
          <w:szCs w:val="32"/>
        </w:rPr>
      </w:pPr>
    </w:p>
    <w:p>
      <w:pPr>
        <w:spacing w:line="600" w:lineRule="exact"/>
        <w:jc w:val="center"/>
        <w:rPr>
          <w:rFonts w:ascii="方正小标宋简体" w:eastAsia="方正小标宋简体"/>
          <w:snapToGrid w:val="0"/>
          <w:kern w:val="0"/>
          <w:sz w:val="44"/>
          <w:szCs w:val="44"/>
        </w:rPr>
      </w:pPr>
      <w:r>
        <w:rPr>
          <w:rFonts w:eastAsia="方正小标宋简体"/>
          <w:snapToGrid w:val="0"/>
          <w:spacing w:val="-4"/>
          <w:kern w:val="0"/>
          <w:sz w:val="44"/>
          <w:szCs w:val="44"/>
        </w:rPr>
        <w:t>台州市人</w:t>
      </w:r>
      <w:r>
        <w:rPr>
          <w:rFonts w:hint="eastAsia" w:ascii="方正小标宋简体" w:eastAsia="方正小标宋简体"/>
          <w:snapToGrid w:val="0"/>
          <w:kern w:val="0"/>
          <w:sz w:val="44"/>
          <w:szCs w:val="44"/>
        </w:rPr>
        <w:t>民政府办公室关于印发台州市</w:t>
      </w:r>
    </w:p>
    <w:p>
      <w:pPr>
        <w:spacing w:line="600" w:lineRule="exact"/>
        <w:jc w:val="center"/>
        <w:rPr>
          <w:rFonts w:eastAsia="方正小标宋简体"/>
          <w:snapToGrid w:val="0"/>
          <w:kern w:val="0"/>
          <w:sz w:val="44"/>
          <w:szCs w:val="44"/>
        </w:rPr>
      </w:pPr>
      <w:r>
        <w:rPr>
          <w:rFonts w:hint="eastAsia" w:ascii="方正小标宋简体" w:eastAsia="方正小标宋简体"/>
          <w:snapToGrid w:val="0"/>
          <w:kern w:val="0"/>
          <w:sz w:val="44"/>
          <w:szCs w:val="44"/>
        </w:rPr>
        <w:t>公共服务体系建设“十四五”规划</w:t>
      </w:r>
      <w:r>
        <w:rPr>
          <w:rFonts w:eastAsia="方正小标宋简体"/>
          <w:snapToGrid w:val="0"/>
          <w:kern w:val="0"/>
          <w:sz w:val="44"/>
          <w:szCs w:val="44"/>
        </w:rPr>
        <w:t>的通知</w:t>
      </w:r>
    </w:p>
    <w:p>
      <w:pPr>
        <w:spacing w:line="600" w:lineRule="exact"/>
        <w:rPr>
          <w:rFonts w:ascii="仿宋_GB2312"/>
          <w:szCs w:val="32"/>
        </w:rPr>
      </w:pPr>
    </w:p>
    <w:p>
      <w:pPr>
        <w:spacing w:line="600" w:lineRule="exact"/>
        <w:rPr>
          <w:rFonts w:ascii="仿宋_GB2312"/>
          <w:szCs w:val="32"/>
        </w:rPr>
      </w:pPr>
      <w:r>
        <w:rPr>
          <w:rFonts w:ascii="仿宋_GB2312"/>
          <w:szCs w:val="32"/>
        </w:rPr>
        <w:t>各县（市、区）人民政府，</w:t>
      </w:r>
      <w:r>
        <w:rPr>
          <w:rFonts w:hint="eastAsia" w:ascii="仿宋_GB2312"/>
          <w:szCs w:val="32"/>
        </w:rPr>
        <w:t>市政府直属各单位</w:t>
      </w:r>
      <w:r>
        <w:rPr>
          <w:rFonts w:ascii="仿宋_GB2312"/>
          <w:szCs w:val="32"/>
        </w:rPr>
        <w:t>：</w:t>
      </w:r>
    </w:p>
    <w:p>
      <w:pPr>
        <w:spacing w:line="600" w:lineRule="exact"/>
        <w:ind w:firstLine="632" w:firstLineChars="200"/>
        <w:rPr>
          <w:rFonts w:ascii="仿宋_GB2312"/>
          <w:szCs w:val="32"/>
        </w:rPr>
      </w:pPr>
      <w:r>
        <w:rPr>
          <w:rFonts w:hint="eastAsia" w:ascii="仿宋_GB2312"/>
          <w:szCs w:val="32"/>
        </w:rPr>
        <w:t>《台州市公共服务体系建设“十四五”规划》已经市政府同意，现印发给你们，请认真贯彻实施。</w:t>
      </w:r>
    </w:p>
    <w:p>
      <w:pPr>
        <w:spacing w:line="600" w:lineRule="exact"/>
      </w:pPr>
    </w:p>
    <w:p>
      <w:pPr>
        <w:spacing w:line="600" w:lineRule="exact"/>
      </w:pPr>
    </w:p>
    <w:p>
      <w:pPr>
        <w:tabs>
          <w:tab w:val="left" w:pos="2528"/>
        </w:tabs>
        <w:spacing w:line="600" w:lineRule="exact"/>
        <w:ind w:firstLine="4828" w:firstLineChars="1528"/>
      </w:pPr>
      <w:r>
        <w:rPr>
          <w:rFonts w:hint="eastAsia"/>
        </w:rPr>
        <w:t>台州市人民政府办公室</w:t>
      </w:r>
    </w:p>
    <w:p>
      <w:pPr>
        <w:tabs>
          <w:tab w:val="left" w:pos="2528"/>
        </w:tabs>
        <w:spacing w:line="600" w:lineRule="exact"/>
        <w:ind w:right="1264" w:rightChars="400"/>
        <w:jc w:val="right"/>
      </w:pPr>
      <w:r>
        <w:rPr>
          <w:rFonts w:hint="eastAsia"/>
        </w:rPr>
        <w:t>2021年12月10日</w:t>
      </w:r>
    </w:p>
    <w:p>
      <w:pPr>
        <w:spacing w:line="600" w:lineRule="exact"/>
        <w:ind w:firstLine="632" w:firstLineChars="200"/>
        <w:rPr>
          <w:rFonts w:ascii="仿宋_GB2312" w:hAnsi="宋体" w:cs="宋体"/>
          <w:color w:val="000000"/>
          <w:kern w:val="0"/>
        </w:rPr>
      </w:pPr>
      <w:r>
        <w:rPr>
          <w:rFonts w:hint="eastAsia" w:ascii="仿宋_GB2312" w:hAnsi="宋体" w:cs="宋体"/>
          <w:color w:val="000000"/>
          <w:kern w:val="0"/>
        </w:rPr>
        <w:t>（此件公开发布）</w:t>
      </w:r>
    </w:p>
    <w:p>
      <w:pPr>
        <w:ind w:left="1264" w:leftChars="100" w:hanging="948" w:hangingChars="300"/>
        <w:jc w:val="left"/>
        <w:rPr>
          <w:szCs w:val="32"/>
        </w:rPr>
        <w:sectPr>
          <w:footerReference r:id="rId3" w:type="default"/>
          <w:footerReference r:id="rId4" w:type="even"/>
          <w:pgSz w:w="11907" w:h="16840"/>
          <w:pgMar w:top="1871" w:right="1474" w:bottom="1758" w:left="1588" w:header="851" w:footer="1134" w:gutter="0"/>
          <w:cols w:space="720" w:num="1"/>
          <w:docGrid w:type="linesAndChars" w:linePitch="600" w:charSpace="-842"/>
        </w:sect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台州市公共服务体系建设“十四五”规划</w:t>
      </w:r>
    </w:p>
    <w:p>
      <w:pPr>
        <w:spacing w:line="600" w:lineRule="exact"/>
        <w:ind w:firstLine="632" w:firstLineChars="200"/>
        <w:rPr>
          <w:szCs w:val="32"/>
        </w:rPr>
      </w:pPr>
    </w:p>
    <w:p>
      <w:pPr>
        <w:spacing w:line="600" w:lineRule="exact"/>
        <w:ind w:firstLine="632" w:firstLineChars="200"/>
        <w:rPr>
          <w:szCs w:val="32"/>
        </w:rPr>
      </w:pPr>
      <w:r>
        <w:rPr>
          <w:rFonts w:hint="eastAsia" w:ascii="仿宋_GB2312"/>
          <w:szCs w:val="32"/>
        </w:rPr>
        <w:t>“十四五”是我市高水平全面建成小康社会，开启社会主义现代化建设新征程，争创社会主义现代化先行市，创造民生幸福新生活的重要时期。公共服务质效提升，对于促进社会公平正义，增进人民福祉，建设人民满意的共同富裕先行市，具有十分重要的意义。本规划依据《浙江省公共服务“十四五”规划》</w:t>
      </w:r>
      <w:r>
        <w:rPr>
          <w:rFonts w:hint="eastAsia" w:ascii="Times New Roman"/>
          <w:szCs w:val="32"/>
        </w:rPr>
        <w:t>（浙政办发〔</w:t>
      </w:r>
      <w:r>
        <w:rPr>
          <w:rFonts w:ascii="Times New Roman"/>
          <w:szCs w:val="32"/>
        </w:rPr>
        <w:t>2021</w:t>
      </w:r>
      <w:r>
        <w:rPr>
          <w:rFonts w:hint="eastAsia" w:ascii="Times New Roman"/>
          <w:szCs w:val="32"/>
        </w:rPr>
        <w:t>〕</w:t>
      </w:r>
      <w:r>
        <w:rPr>
          <w:rFonts w:ascii="Times New Roman"/>
          <w:szCs w:val="32"/>
        </w:rPr>
        <w:t>34</w:t>
      </w:r>
      <w:r>
        <w:rPr>
          <w:rFonts w:hint="eastAsia" w:ascii="Times New Roman"/>
          <w:szCs w:val="32"/>
        </w:rPr>
        <w:t>号）、《台州市国民经济和社会发展第十四个五</w:t>
      </w:r>
      <w:r>
        <w:rPr>
          <w:rFonts w:hint="eastAsia" w:ascii="仿宋_GB2312"/>
          <w:szCs w:val="32"/>
        </w:rPr>
        <w:t>年规划和二〇三五年远景目标纲要》</w:t>
      </w:r>
      <w:r>
        <w:rPr>
          <w:rFonts w:hint="eastAsia" w:ascii="Times New Roman"/>
          <w:szCs w:val="32"/>
        </w:rPr>
        <w:t>（台政发〔</w:t>
      </w:r>
      <w:r>
        <w:rPr>
          <w:rFonts w:ascii="Times New Roman"/>
          <w:szCs w:val="32"/>
        </w:rPr>
        <w:t>2021</w:t>
      </w:r>
      <w:r>
        <w:rPr>
          <w:rFonts w:hint="eastAsia" w:ascii="Times New Roman"/>
          <w:szCs w:val="32"/>
        </w:rPr>
        <w:t>〕</w:t>
      </w:r>
      <w:r>
        <w:rPr>
          <w:rFonts w:ascii="Times New Roman"/>
          <w:szCs w:val="32"/>
        </w:rPr>
        <w:t>14</w:t>
      </w:r>
      <w:r>
        <w:rPr>
          <w:rFonts w:hint="eastAsia" w:ascii="Times New Roman"/>
          <w:szCs w:val="32"/>
        </w:rPr>
        <w:t>号）</w:t>
      </w:r>
      <w:r>
        <w:rPr>
          <w:rFonts w:hint="eastAsia" w:ascii="仿宋_GB2312"/>
          <w:szCs w:val="32"/>
        </w:rPr>
        <w:t>的有关要求编制，是今后五年我市公共服务体系建设的综合性、基础性、指导性和纲领性文件，是政府履行公共服务职责的重要依据。重点覆盖托育照护、现代教育、就业创业、医疗卫生、文体服务、宜居生活、幸福养老、兜底保障、</w:t>
      </w:r>
      <w:r>
        <w:rPr>
          <w:szCs w:val="32"/>
        </w:rPr>
        <w:t>公共安全等服务领域。规划期限为2021年至2025年。</w:t>
      </w:r>
    </w:p>
    <w:p>
      <w:pPr>
        <w:spacing w:line="600" w:lineRule="exact"/>
        <w:ind w:firstLine="632" w:firstLineChars="200"/>
        <w:outlineLvl w:val="0"/>
        <w:rPr>
          <w:rFonts w:eastAsia="黑体"/>
          <w:bCs/>
          <w:szCs w:val="32"/>
        </w:rPr>
      </w:pPr>
      <w:r>
        <w:rPr>
          <w:rFonts w:eastAsia="黑体"/>
          <w:bCs/>
          <w:szCs w:val="32"/>
        </w:rPr>
        <w:t>一、发展基础</w:t>
      </w:r>
    </w:p>
    <w:p>
      <w:pPr>
        <w:spacing w:line="600" w:lineRule="exact"/>
        <w:ind w:firstLine="632" w:firstLineChars="200"/>
        <w:outlineLvl w:val="1"/>
        <w:rPr>
          <w:rFonts w:ascii="楷体_GB2312" w:eastAsia="楷体_GB2312"/>
          <w:szCs w:val="32"/>
        </w:rPr>
      </w:pPr>
      <w:r>
        <w:rPr>
          <w:rFonts w:hint="eastAsia" w:ascii="楷体_GB2312" w:eastAsia="楷体_GB2312"/>
          <w:szCs w:val="32"/>
        </w:rPr>
        <w:t>（一）现实基础。</w:t>
      </w:r>
    </w:p>
    <w:p>
      <w:pPr>
        <w:spacing w:line="600" w:lineRule="exact"/>
        <w:ind w:firstLine="632" w:firstLineChars="200"/>
        <w:outlineLvl w:val="1"/>
        <w:rPr>
          <w:rFonts w:ascii="仿宋_GB2312"/>
          <w:szCs w:val="32"/>
        </w:rPr>
      </w:pPr>
      <w:r>
        <w:rPr>
          <w:rFonts w:hint="eastAsia" w:ascii="仿宋_GB2312"/>
          <w:szCs w:val="32"/>
        </w:rPr>
        <w:t>“十三五”以来，我市严格落实《台州市基本公共服务均等化五年行动计</w:t>
      </w:r>
      <w:r>
        <w:rPr>
          <w:rFonts w:hint="eastAsia" w:ascii="Times New Roman"/>
          <w:szCs w:val="32"/>
        </w:rPr>
        <w:t>划（</w:t>
      </w:r>
      <w:r>
        <w:rPr>
          <w:rFonts w:ascii="Times New Roman"/>
          <w:szCs w:val="32"/>
        </w:rPr>
        <w:t>2016</w:t>
      </w:r>
      <w:r>
        <w:rPr>
          <w:rFonts w:hint="eastAsia"/>
          <w:szCs w:val="32"/>
        </w:rPr>
        <w:t>—</w:t>
      </w:r>
      <w:r>
        <w:rPr>
          <w:rFonts w:ascii="Times New Roman"/>
          <w:szCs w:val="32"/>
        </w:rPr>
        <w:t>2020</w:t>
      </w:r>
      <w:r>
        <w:rPr>
          <w:rFonts w:hint="eastAsia" w:ascii="Times New Roman"/>
          <w:szCs w:val="32"/>
        </w:rPr>
        <w:t>年）》（台政办发〔</w:t>
      </w:r>
      <w:r>
        <w:rPr>
          <w:rFonts w:ascii="Times New Roman"/>
          <w:szCs w:val="32"/>
        </w:rPr>
        <w:t>2018</w:t>
      </w:r>
      <w:r>
        <w:rPr>
          <w:rFonts w:hint="eastAsia" w:ascii="Times New Roman"/>
          <w:szCs w:val="32"/>
        </w:rPr>
        <w:t>〕</w:t>
      </w:r>
      <w:r>
        <w:rPr>
          <w:rFonts w:ascii="Times New Roman"/>
          <w:szCs w:val="32"/>
        </w:rPr>
        <w:t>8</w:t>
      </w:r>
      <w:r>
        <w:rPr>
          <w:rFonts w:hint="eastAsia" w:ascii="Times New Roman"/>
          <w:szCs w:val="32"/>
        </w:rPr>
        <w:t>号），</w:t>
      </w:r>
      <w:r>
        <w:rPr>
          <w:rFonts w:hint="eastAsia" w:ascii="仿宋_GB2312"/>
          <w:szCs w:val="32"/>
        </w:rPr>
        <w:t>经过各地各部门的共同努力，全市基本公共服务整体水平和均等化程度不断提</w:t>
      </w:r>
      <w:r>
        <w:rPr>
          <w:rFonts w:ascii="仿宋_GB2312"/>
          <w:szCs w:val="32"/>
        </w:rPr>
        <w:t>升。</w:t>
      </w:r>
    </w:p>
    <w:p>
      <w:pPr>
        <w:spacing w:line="580" w:lineRule="exact"/>
        <w:ind w:firstLine="632" w:firstLineChars="200"/>
        <w:rPr>
          <w:szCs w:val="32"/>
        </w:rPr>
      </w:pPr>
      <w:r>
        <w:rPr>
          <w:szCs w:val="32"/>
        </w:rPr>
        <w:t>基本公共服务均等化实现度明显提升。2019年，全市基本公共服务均等化实现度97.2%，较2015年提高14.3个百分点，提前超额完成基本公共服务五年行动计划95%的目标任务。其中，</w:t>
      </w:r>
      <w:r>
        <w:rPr>
          <w:rFonts w:hint="eastAsia"/>
          <w:szCs w:val="32"/>
        </w:rPr>
        <w:t>八</w:t>
      </w:r>
      <w:r>
        <w:rPr>
          <w:szCs w:val="32"/>
        </w:rPr>
        <w:t>大领域中基本环境和基本就业创业2个领域实现度达到100%。截止到2020年底，33项指标，除幼儿在园人数、每千人医疗床位数、企业劳动合同签约率、城市公共交通出行分担率</w:t>
      </w:r>
      <w:r>
        <w:rPr>
          <w:rFonts w:hint="eastAsia"/>
          <w:szCs w:val="32"/>
        </w:rPr>
        <w:t>以及</w:t>
      </w:r>
      <w:r>
        <w:rPr>
          <w:szCs w:val="32"/>
        </w:rPr>
        <w:t>人均年观看文博展览、文艺表演场次5个指标进展稍显滞后外，其他28个指标都达到预期目标要求。</w:t>
      </w:r>
    </w:p>
    <w:p>
      <w:pPr>
        <w:spacing w:line="570" w:lineRule="exact"/>
        <w:ind w:firstLine="632" w:firstLineChars="200"/>
        <w:rPr>
          <w:kern w:val="0"/>
          <w:szCs w:val="32"/>
        </w:rPr>
      </w:pPr>
      <w:r>
        <w:rPr>
          <w:szCs w:val="32"/>
        </w:rPr>
        <w:t>基本公共服务制度体系更加健全。建立涵盖基本公共教育、基本就业创业等八大领域基本公共服务清单114项，明确了服务对象、保障标准和支出责任。形成多元化的供给机制，政府兜底作用进一步发挥，民生支出占全市一般公共预算支出75%以上，社会</w:t>
      </w:r>
      <w:r>
        <w:rPr>
          <w:kern w:val="0"/>
          <w:szCs w:val="32"/>
        </w:rPr>
        <w:t>力量积极参与公共服务供给，民办教育、社会办医、养老市场化等取得实质性进展。制定地方标准</w:t>
      </w:r>
      <w:r>
        <w:rPr>
          <w:rFonts w:eastAsia="宋体"/>
          <w:kern w:val="0"/>
          <w:szCs w:val="32"/>
        </w:rPr>
        <w:t>36</w:t>
      </w:r>
      <w:r>
        <w:rPr>
          <w:kern w:val="0"/>
          <w:szCs w:val="32"/>
        </w:rPr>
        <w:t>项，开展国家级、省级基本公共服务标准化试点项目</w:t>
      </w:r>
      <w:r>
        <w:rPr>
          <w:rFonts w:eastAsia="宋体"/>
          <w:kern w:val="0"/>
          <w:szCs w:val="32"/>
        </w:rPr>
        <w:t>17</w:t>
      </w:r>
      <w:r>
        <w:rPr>
          <w:kern w:val="0"/>
          <w:szCs w:val="32"/>
        </w:rPr>
        <w:t>个。</w:t>
      </w:r>
    </w:p>
    <w:p>
      <w:pPr>
        <w:spacing w:line="570" w:lineRule="exact"/>
        <w:ind w:firstLine="632" w:firstLineChars="200"/>
        <w:rPr>
          <w:rFonts w:ascii="仿宋_GB2312"/>
          <w:kern w:val="0"/>
          <w:szCs w:val="32"/>
        </w:rPr>
      </w:pPr>
      <w:r>
        <w:rPr>
          <w:szCs w:val="32"/>
        </w:rPr>
        <w:t>基本公共服务重点领域成效显著。</w:t>
      </w:r>
      <w:r>
        <w:rPr>
          <w:kern w:val="0"/>
          <w:szCs w:val="32"/>
        </w:rPr>
        <w:t>省教育</w:t>
      </w:r>
      <w:r>
        <w:rPr>
          <w:rFonts w:hint="eastAsia" w:ascii="仿宋_GB2312"/>
          <w:kern w:val="0"/>
          <w:szCs w:val="32"/>
        </w:rPr>
        <w:t>基本现代化县（市）创建实现“满堂红”，义务教育质量全省排名向前移位。台州就业创业工作获省政府表彰，跻身全省第一方阵。在全省率先建立困境儿童基本生活保障制度，是全国第一批开通“</w:t>
      </w:r>
      <w:r>
        <w:rPr>
          <w:kern w:val="0"/>
          <w:szCs w:val="32"/>
        </w:rPr>
        <w:t>12349</w:t>
      </w:r>
      <w:r>
        <w:rPr>
          <w:rFonts w:hint="eastAsia" w:ascii="仿宋_GB2312"/>
          <w:kern w:val="0"/>
          <w:szCs w:val="32"/>
        </w:rPr>
        <w:t>”儿童</w:t>
      </w:r>
      <w:r>
        <w:rPr>
          <w:kern w:val="0"/>
          <w:szCs w:val="32"/>
        </w:rPr>
        <w:t>救助保护热线</w:t>
      </w:r>
      <w:r>
        <w:rPr>
          <w:rFonts w:hint="eastAsia"/>
          <w:kern w:val="0"/>
          <w:szCs w:val="32"/>
        </w:rPr>
        <w:t>的</w:t>
      </w:r>
      <w:r>
        <w:rPr>
          <w:kern w:val="0"/>
          <w:szCs w:val="32"/>
        </w:rPr>
        <w:t>14个试点城市之一，</w:t>
      </w:r>
      <w:r>
        <w:rPr>
          <w:rFonts w:hint="eastAsia" w:ascii="仿宋_GB2312"/>
          <w:kern w:val="0"/>
          <w:szCs w:val="32"/>
        </w:rPr>
        <w:t>被列入“</w:t>
      </w:r>
      <w:r>
        <w:rPr>
          <w:kern w:val="0"/>
          <w:szCs w:val="32"/>
        </w:rPr>
        <w:t>12349</w:t>
      </w:r>
      <w:r>
        <w:rPr>
          <w:rFonts w:hint="eastAsia" w:ascii="仿宋_GB2312"/>
          <w:kern w:val="0"/>
          <w:szCs w:val="32"/>
        </w:rPr>
        <w:t>”全国统一儿童救助保护热线试点地区和第五批中央财政资金支持的全国居家和社区养老服务改革试点。城市医联体建设纳入国家试点，入选国家第四批综合医改试点城市。省体育强县实现全覆盖，创成体育强市。文化发展指数增幅居全省首位，创成国家公共文化服务体系示范区和中国和合文化之乡。平安台州实现“七连创”。</w:t>
      </w:r>
    </w:p>
    <w:p>
      <w:pPr>
        <w:spacing w:line="570" w:lineRule="exact"/>
        <w:ind w:firstLine="632" w:firstLineChars="200"/>
        <w:rPr>
          <w:kern w:val="0"/>
          <w:szCs w:val="32"/>
        </w:rPr>
        <w:sectPr>
          <w:pgSz w:w="11907" w:h="16840"/>
          <w:pgMar w:top="1871" w:right="1474" w:bottom="1758" w:left="1588" w:header="851" w:footer="1134" w:gutter="0"/>
          <w:cols w:space="720" w:num="1"/>
          <w:docGrid w:type="linesAndChars" w:linePitch="600" w:charSpace="-842"/>
        </w:sectPr>
      </w:pPr>
    </w:p>
    <w:p>
      <w:pPr>
        <w:spacing w:line="600" w:lineRule="exact"/>
        <w:ind w:firstLine="640" w:firstLineChars="200"/>
        <w:jc w:val="center"/>
        <w:rPr>
          <w:rFonts w:ascii="黑体" w:hAnsi="黑体" w:eastAsia="黑体"/>
          <w:szCs w:val="32"/>
        </w:rPr>
      </w:pPr>
      <w:r>
        <w:rPr>
          <w:rFonts w:hAnsi="黑体" w:eastAsia="黑体"/>
          <w:szCs w:val="32"/>
        </w:rPr>
        <w:t>表</w:t>
      </w:r>
      <w:r>
        <w:rPr>
          <w:rFonts w:eastAsia="黑体"/>
          <w:szCs w:val="32"/>
        </w:rPr>
        <w:t xml:space="preserve">1 </w:t>
      </w:r>
      <w:r>
        <w:rPr>
          <w:rFonts w:ascii="黑体" w:hAnsi="黑体" w:eastAsia="黑体"/>
          <w:szCs w:val="32"/>
        </w:rPr>
        <w:t>“</w:t>
      </w:r>
      <w:r>
        <w:rPr>
          <w:rFonts w:hint="eastAsia" w:ascii="黑体" w:hAnsi="黑体" w:eastAsia="黑体"/>
          <w:szCs w:val="32"/>
        </w:rPr>
        <w:t>十三五</w:t>
      </w:r>
      <w:r>
        <w:rPr>
          <w:rFonts w:ascii="黑体" w:hAnsi="黑体" w:eastAsia="黑体"/>
          <w:szCs w:val="32"/>
        </w:rPr>
        <w:t>”</w:t>
      </w:r>
      <w:r>
        <w:rPr>
          <w:rFonts w:hint="eastAsia" w:ascii="黑体" w:hAnsi="黑体" w:eastAsia="黑体"/>
          <w:szCs w:val="32"/>
        </w:rPr>
        <w:t>台州基本公共服务主要指标完成情况表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831"/>
        <w:gridCol w:w="6158"/>
        <w:gridCol w:w="1173"/>
        <w:gridCol w:w="1250"/>
        <w:gridCol w:w="1243"/>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blHeader/>
          <w:jc w:val="center"/>
        </w:trPr>
        <w:tc>
          <w:tcPr>
            <w:tcW w:w="1219" w:type="dxa"/>
            <w:vAlign w:val="center"/>
          </w:tcPr>
          <w:p>
            <w:pPr>
              <w:spacing w:line="280" w:lineRule="exact"/>
              <w:jc w:val="center"/>
              <w:rPr>
                <w:rFonts w:ascii="黑体" w:hAnsi="黑体" w:eastAsia="黑体"/>
                <w:bCs/>
                <w:sz w:val="24"/>
              </w:rPr>
            </w:pPr>
            <w:r>
              <w:rPr>
                <w:rFonts w:ascii="黑体" w:hAnsi="黑体" w:eastAsia="黑体"/>
                <w:bCs/>
                <w:sz w:val="24"/>
              </w:rPr>
              <w:t>类别</w:t>
            </w:r>
          </w:p>
        </w:tc>
        <w:tc>
          <w:tcPr>
            <w:tcW w:w="831" w:type="dxa"/>
            <w:vAlign w:val="center"/>
          </w:tcPr>
          <w:p>
            <w:pPr>
              <w:spacing w:line="280" w:lineRule="exact"/>
              <w:jc w:val="center"/>
              <w:rPr>
                <w:rFonts w:ascii="黑体" w:hAnsi="黑体" w:eastAsia="黑体"/>
                <w:bCs/>
                <w:sz w:val="24"/>
              </w:rPr>
            </w:pPr>
            <w:r>
              <w:rPr>
                <w:rFonts w:ascii="黑体" w:hAnsi="黑体" w:eastAsia="黑体"/>
                <w:bCs/>
                <w:sz w:val="24"/>
              </w:rPr>
              <w:t>序号</w:t>
            </w:r>
          </w:p>
        </w:tc>
        <w:tc>
          <w:tcPr>
            <w:tcW w:w="6158" w:type="dxa"/>
            <w:vAlign w:val="center"/>
          </w:tcPr>
          <w:p>
            <w:pPr>
              <w:spacing w:line="280" w:lineRule="exact"/>
              <w:jc w:val="center"/>
              <w:rPr>
                <w:rFonts w:ascii="黑体" w:hAnsi="黑体" w:eastAsia="黑体"/>
                <w:bCs/>
                <w:sz w:val="24"/>
              </w:rPr>
            </w:pPr>
            <w:r>
              <w:rPr>
                <w:rFonts w:ascii="黑体" w:hAnsi="黑体" w:eastAsia="黑体"/>
                <w:bCs/>
                <w:sz w:val="24"/>
              </w:rPr>
              <w:t>指标名称</w:t>
            </w:r>
          </w:p>
        </w:tc>
        <w:tc>
          <w:tcPr>
            <w:tcW w:w="1173" w:type="dxa"/>
            <w:vAlign w:val="center"/>
          </w:tcPr>
          <w:p>
            <w:pPr>
              <w:spacing w:line="280" w:lineRule="exact"/>
              <w:jc w:val="center"/>
              <w:rPr>
                <w:rFonts w:eastAsia="黑体"/>
                <w:bCs/>
                <w:sz w:val="24"/>
              </w:rPr>
            </w:pPr>
            <w:r>
              <w:rPr>
                <w:rFonts w:eastAsia="黑体"/>
                <w:bCs/>
                <w:sz w:val="24"/>
              </w:rPr>
              <w:t>2015</w:t>
            </w:r>
            <w:r>
              <w:rPr>
                <w:rFonts w:hAnsi="黑体" w:eastAsia="黑体"/>
                <w:bCs/>
                <w:sz w:val="24"/>
              </w:rPr>
              <w:t>年</w:t>
            </w:r>
          </w:p>
        </w:tc>
        <w:tc>
          <w:tcPr>
            <w:tcW w:w="1250" w:type="dxa"/>
            <w:vAlign w:val="center"/>
          </w:tcPr>
          <w:p>
            <w:pPr>
              <w:spacing w:line="280" w:lineRule="exact"/>
              <w:jc w:val="center"/>
              <w:rPr>
                <w:rFonts w:eastAsia="黑体"/>
                <w:bCs/>
                <w:sz w:val="24"/>
              </w:rPr>
            </w:pPr>
            <w:r>
              <w:rPr>
                <w:rFonts w:hAnsi="黑体" w:eastAsia="黑体"/>
                <w:bCs/>
                <w:sz w:val="24"/>
              </w:rPr>
              <w:t>规划目标</w:t>
            </w:r>
          </w:p>
          <w:p>
            <w:pPr>
              <w:spacing w:line="280" w:lineRule="exact"/>
              <w:jc w:val="center"/>
              <w:rPr>
                <w:rFonts w:eastAsia="黑体"/>
                <w:bCs/>
                <w:sz w:val="24"/>
              </w:rPr>
            </w:pPr>
            <w:r>
              <w:rPr>
                <w:rFonts w:eastAsia="黑体"/>
                <w:bCs/>
                <w:sz w:val="24"/>
              </w:rPr>
              <w:t>2020</w:t>
            </w:r>
            <w:r>
              <w:rPr>
                <w:rFonts w:hAnsi="黑体" w:eastAsia="黑体"/>
                <w:bCs/>
                <w:sz w:val="24"/>
              </w:rPr>
              <w:t>年</w:t>
            </w:r>
          </w:p>
        </w:tc>
        <w:tc>
          <w:tcPr>
            <w:tcW w:w="1243" w:type="dxa"/>
            <w:vAlign w:val="center"/>
          </w:tcPr>
          <w:p>
            <w:pPr>
              <w:spacing w:line="280" w:lineRule="exact"/>
              <w:jc w:val="center"/>
              <w:rPr>
                <w:rFonts w:eastAsia="黑体"/>
                <w:bCs/>
                <w:sz w:val="24"/>
              </w:rPr>
            </w:pPr>
            <w:r>
              <w:rPr>
                <w:rFonts w:hAnsi="黑体" w:eastAsia="黑体"/>
                <w:bCs/>
                <w:sz w:val="24"/>
              </w:rPr>
              <w:t>完成情况</w:t>
            </w:r>
          </w:p>
          <w:p>
            <w:pPr>
              <w:spacing w:line="280" w:lineRule="exact"/>
              <w:jc w:val="center"/>
              <w:rPr>
                <w:rFonts w:eastAsia="黑体"/>
                <w:bCs/>
                <w:sz w:val="24"/>
              </w:rPr>
            </w:pPr>
            <w:r>
              <w:rPr>
                <w:rFonts w:eastAsia="黑体"/>
                <w:bCs/>
                <w:sz w:val="24"/>
              </w:rPr>
              <w:t>2020</w:t>
            </w:r>
            <w:r>
              <w:rPr>
                <w:rFonts w:hAnsi="黑体" w:eastAsia="黑体"/>
                <w:bCs/>
                <w:sz w:val="24"/>
              </w:rPr>
              <w:t>年</w:t>
            </w:r>
          </w:p>
        </w:tc>
        <w:tc>
          <w:tcPr>
            <w:tcW w:w="1183" w:type="dxa"/>
            <w:vAlign w:val="center"/>
          </w:tcPr>
          <w:p>
            <w:pPr>
              <w:spacing w:line="280" w:lineRule="exact"/>
              <w:jc w:val="center"/>
              <w:rPr>
                <w:rFonts w:ascii="黑体" w:hAnsi="黑体" w:eastAsia="黑体"/>
                <w:bCs/>
                <w:sz w:val="24"/>
              </w:rPr>
            </w:pPr>
            <w:r>
              <w:rPr>
                <w:rFonts w:ascii="黑体" w:hAnsi="黑体" w:eastAsia="黑体"/>
                <w:bCs/>
                <w:sz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restart"/>
            <w:vAlign w:val="center"/>
          </w:tcPr>
          <w:p>
            <w:pPr>
              <w:spacing w:line="280" w:lineRule="exact"/>
              <w:jc w:val="center"/>
              <w:rPr>
                <w:sz w:val="24"/>
              </w:rPr>
            </w:pPr>
            <w:r>
              <w:rPr>
                <w:sz w:val="24"/>
              </w:rPr>
              <w:t>公共事业性服务</w:t>
            </w:r>
          </w:p>
        </w:tc>
        <w:tc>
          <w:tcPr>
            <w:tcW w:w="831" w:type="dxa"/>
            <w:vAlign w:val="center"/>
          </w:tcPr>
          <w:p>
            <w:pPr>
              <w:spacing w:line="280" w:lineRule="exact"/>
              <w:jc w:val="center"/>
              <w:rPr>
                <w:sz w:val="24"/>
              </w:rPr>
            </w:pPr>
            <w:r>
              <w:rPr>
                <w:sz w:val="24"/>
              </w:rPr>
              <w:t>1</w:t>
            </w:r>
          </w:p>
        </w:tc>
        <w:tc>
          <w:tcPr>
            <w:tcW w:w="6158" w:type="dxa"/>
            <w:vAlign w:val="center"/>
          </w:tcPr>
          <w:p>
            <w:pPr>
              <w:spacing w:line="280" w:lineRule="exact"/>
              <w:rPr>
                <w:sz w:val="24"/>
              </w:rPr>
            </w:pPr>
            <w:r>
              <w:rPr>
                <w:sz w:val="24"/>
              </w:rPr>
              <w:t>九年义务教育巩固率（%）</w:t>
            </w:r>
          </w:p>
        </w:tc>
        <w:tc>
          <w:tcPr>
            <w:tcW w:w="1173" w:type="dxa"/>
            <w:vAlign w:val="center"/>
          </w:tcPr>
          <w:p>
            <w:pPr>
              <w:spacing w:line="280" w:lineRule="exact"/>
              <w:jc w:val="center"/>
              <w:rPr>
                <w:sz w:val="24"/>
              </w:rPr>
            </w:pPr>
            <w:r>
              <w:rPr>
                <w:sz w:val="24"/>
              </w:rPr>
              <w:t>99.9</w:t>
            </w:r>
          </w:p>
        </w:tc>
        <w:tc>
          <w:tcPr>
            <w:tcW w:w="1250" w:type="dxa"/>
            <w:vAlign w:val="center"/>
          </w:tcPr>
          <w:p>
            <w:pPr>
              <w:spacing w:line="280" w:lineRule="exact"/>
              <w:jc w:val="center"/>
              <w:rPr>
                <w:sz w:val="24"/>
              </w:rPr>
            </w:pPr>
            <w:r>
              <w:rPr>
                <w:sz w:val="24"/>
              </w:rPr>
              <w:t>99.9</w:t>
            </w:r>
          </w:p>
        </w:tc>
        <w:tc>
          <w:tcPr>
            <w:tcW w:w="1243" w:type="dxa"/>
            <w:vAlign w:val="center"/>
          </w:tcPr>
          <w:p>
            <w:pPr>
              <w:spacing w:line="280" w:lineRule="exact"/>
              <w:jc w:val="center"/>
              <w:rPr>
                <w:sz w:val="24"/>
              </w:rPr>
            </w:pPr>
            <w:r>
              <w:rPr>
                <w:sz w:val="24"/>
              </w:rPr>
              <w:t>99.99</w:t>
            </w:r>
          </w:p>
        </w:tc>
        <w:tc>
          <w:tcPr>
            <w:tcW w:w="1183" w:type="dxa"/>
            <w:vAlign w:val="center"/>
          </w:tcPr>
          <w:p>
            <w:pPr>
              <w:spacing w:line="280" w:lineRule="exact"/>
              <w:jc w:val="center"/>
              <w:rPr>
                <w:sz w:val="24"/>
              </w:rPr>
            </w:pPr>
            <w:r>
              <w:rPr>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2</w:t>
            </w:r>
          </w:p>
        </w:tc>
        <w:tc>
          <w:tcPr>
            <w:tcW w:w="6158" w:type="dxa"/>
            <w:vAlign w:val="center"/>
          </w:tcPr>
          <w:p>
            <w:pPr>
              <w:spacing w:line="280" w:lineRule="exact"/>
              <w:rPr>
                <w:sz w:val="24"/>
              </w:rPr>
            </w:pPr>
            <w:r>
              <w:rPr>
                <w:sz w:val="24"/>
              </w:rPr>
              <w:t>幼儿在园人数（万人）</w:t>
            </w:r>
          </w:p>
        </w:tc>
        <w:tc>
          <w:tcPr>
            <w:tcW w:w="1173" w:type="dxa"/>
            <w:vAlign w:val="center"/>
          </w:tcPr>
          <w:p>
            <w:pPr>
              <w:spacing w:line="280" w:lineRule="exact"/>
              <w:jc w:val="center"/>
              <w:rPr>
                <w:sz w:val="24"/>
              </w:rPr>
            </w:pPr>
            <w:r>
              <w:rPr>
                <w:sz w:val="24"/>
              </w:rPr>
              <w:t>23.4</w:t>
            </w:r>
          </w:p>
        </w:tc>
        <w:tc>
          <w:tcPr>
            <w:tcW w:w="1250" w:type="dxa"/>
            <w:vAlign w:val="center"/>
          </w:tcPr>
          <w:p>
            <w:pPr>
              <w:spacing w:line="280" w:lineRule="exact"/>
              <w:jc w:val="center"/>
              <w:rPr>
                <w:sz w:val="24"/>
              </w:rPr>
            </w:pPr>
            <w:r>
              <w:rPr>
                <w:sz w:val="24"/>
              </w:rPr>
              <w:t>31</w:t>
            </w:r>
          </w:p>
        </w:tc>
        <w:tc>
          <w:tcPr>
            <w:tcW w:w="1243" w:type="dxa"/>
            <w:vAlign w:val="center"/>
          </w:tcPr>
          <w:p>
            <w:pPr>
              <w:spacing w:line="280" w:lineRule="exact"/>
              <w:jc w:val="center"/>
              <w:rPr>
                <w:sz w:val="24"/>
              </w:rPr>
            </w:pPr>
            <w:r>
              <w:rPr>
                <w:sz w:val="24"/>
              </w:rPr>
              <w:t>19.25</w:t>
            </w:r>
          </w:p>
        </w:tc>
        <w:tc>
          <w:tcPr>
            <w:tcW w:w="1183" w:type="dxa"/>
            <w:vAlign w:val="center"/>
          </w:tcPr>
          <w:p>
            <w:pPr>
              <w:spacing w:line="280" w:lineRule="exact"/>
              <w:jc w:val="center"/>
              <w:rPr>
                <w:sz w:val="24"/>
              </w:rPr>
            </w:pPr>
            <w:r>
              <w:rPr>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3</w:t>
            </w:r>
          </w:p>
        </w:tc>
        <w:tc>
          <w:tcPr>
            <w:tcW w:w="6158" w:type="dxa"/>
            <w:vAlign w:val="center"/>
          </w:tcPr>
          <w:p>
            <w:pPr>
              <w:spacing w:line="280" w:lineRule="exact"/>
              <w:rPr>
                <w:sz w:val="24"/>
              </w:rPr>
            </w:pPr>
            <w:r>
              <w:rPr>
                <w:sz w:val="24"/>
              </w:rPr>
              <w:t>高中阶段毛入学率（%）</w:t>
            </w:r>
          </w:p>
        </w:tc>
        <w:tc>
          <w:tcPr>
            <w:tcW w:w="1173" w:type="dxa"/>
            <w:vAlign w:val="center"/>
          </w:tcPr>
          <w:p>
            <w:pPr>
              <w:spacing w:line="280" w:lineRule="exact"/>
              <w:jc w:val="center"/>
              <w:rPr>
                <w:sz w:val="24"/>
              </w:rPr>
            </w:pPr>
            <w:r>
              <w:rPr>
                <w:sz w:val="24"/>
              </w:rPr>
              <w:t>97.5</w:t>
            </w:r>
          </w:p>
        </w:tc>
        <w:tc>
          <w:tcPr>
            <w:tcW w:w="1250" w:type="dxa"/>
            <w:vAlign w:val="center"/>
          </w:tcPr>
          <w:p>
            <w:pPr>
              <w:spacing w:line="280" w:lineRule="exact"/>
              <w:jc w:val="center"/>
              <w:rPr>
                <w:sz w:val="24"/>
              </w:rPr>
            </w:pPr>
            <w:r>
              <w:rPr>
                <w:sz w:val="24"/>
              </w:rPr>
              <w:t>98.5</w:t>
            </w:r>
          </w:p>
        </w:tc>
        <w:tc>
          <w:tcPr>
            <w:tcW w:w="1243" w:type="dxa"/>
            <w:vAlign w:val="center"/>
          </w:tcPr>
          <w:p>
            <w:pPr>
              <w:spacing w:line="280" w:lineRule="exact"/>
              <w:jc w:val="center"/>
              <w:rPr>
                <w:sz w:val="24"/>
              </w:rPr>
            </w:pPr>
            <w:r>
              <w:rPr>
                <w:sz w:val="24"/>
              </w:rPr>
              <w:t>99.55</w:t>
            </w:r>
          </w:p>
        </w:tc>
        <w:tc>
          <w:tcPr>
            <w:tcW w:w="1183" w:type="dxa"/>
            <w:vAlign w:val="center"/>
          </w:tcPr>
          <w:p>
            <w:pPr>
              <w:spacing w:line="280" w:lineRule="exact"/>
              <w:jc w:val="center"/>
              <w:rPr>
                <w:sz w:val="24"/>
              </w:rPr>
            </w:pPr>
            <w:r>
              <w:rPr>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4</w:t>
            </w:r>
          </w:p>
        </w:tc>
        <w:tc>
          <w:tcPr>
            <w:tcW w:w="6158" w:type="dxa"/>
            <w:vAlign w:val="center"/>
          </w:tcPr>
          <w:p>
            <w:pPr>
              <w:spacing w:line="280" w:lineRule="exact"/>
              <w:rPr>
                <w:sz w:val="24"/>
              </w:rPr>
            </w:pPr>
            <w:r>
              <w:rPr>
                <w:sz w:val="24"/>
              </w:rPr>
              <w:t>人均预期寿命（年）</w:t>
            </w:r>
          </w:p>
        </w:tc>
        <w:tc>
          <w:tcPr>
            <w:tcW w:w="1173" w:type="dxa"/>
            <w:vAlign w:val="center"/>
          </w:tcPr>
          <w:p>
            <w:pPr>
              <w:spacing w:line="280" w:lineRule="exact"/>
              <w:jc w:val="center"/>
              <w:rPr>
                <w:sz w:val="24"/>
              </w:rPr>
            </w:pPr>
            <w:r>
              <w:rPr>
                <w:sz w:val="24"/>
              </w:rPr>
              <w:t>79.12</w:t>
            </w:r>
          </w:p>
        </w:tc>
        <w:tc>
          <w:tcPr>
            <w:tcW w:w="1250" w:type="dxa"/>
            <w:vAlign w:val="center"/>
          </w:tcPr>
          <w:p>
            <w:pPr>
              <w:spacing w:line="280" w:lineRule="exact"/>
              <w:jc w:val="center"/>
              <w:rPr>
                <w:sz w:val="24"/>
              </w:rPr>
            </w:pPr>
            <w:r>
              <w:rPr>
                <w:sz w:val="24"/>
              </w:rPr>
              <w:t>79.3</w:t>
            </w:r>
          </w:p>
        </w:tc>
        <w:tc>
          <w:tcPr>
            <w:tcW w:w="1243" w:type="dxa"/>
            <w:vAlign w:val="center"/>
          </w:tcPr>
          <w:p>
            <w:pPr>
              <w:spacing w:line="280" w:lineRule="exact"/>
              <w:jc w:val="center"/>
              <w:rPr>
                <w:sz w:val="24"/>
              </w:rPr>
            </w:pPr>
            <w:r>
              <w:rPr>
                <w:sz w:val="24"/>
              </w:rPr>
              <w:t>81.33</w:t>
            </w:r>
          </w:p>
        </w:tc>
        <w:tc>
          <w:tcPr>
            <w:tcW w:w="1183" w:type="dxa"/>
            <w:vAlign w:val="center"/>
          </w:tcPr>
          <w:p>
            <w:pPr>
              <w:spacing w:line="280" w:lineRule="exact"/>
              <w:jc w:val="center"/>
              <w:rPr>
                <w:sz w:val="24"/>
              </w:rPr>
            </w:pPr>
            <w:r>
              <w:rPr>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5</w:t>
            </w:r>
          </w:p>
        </w:tc>
        <w:tc>
          <w:tcPr>
            <w:tcW w:w="6158" w:type="dxa"/>
            <w:vAlign w:val="center"/>
          </w:tcPr>
          <w:p>
            <w:pPr>
              <w:spacing w:line="280" w:lineRule="exact"/>
              <w:rPr>
                <w:sz w:val="24"/>
              </w:rPr>
            </w:pPr>
            <w:r>
              <w:rPr>
                <w:sz w:val="24"/>
              </w:rPr>
              <w:t>每千人口执业（助理）医师数（人）</w:t>
            </w:r>
          </w:p>
        </w:tc>
        <w:tc>
          <w:tcPr>
            <w:tcW w:w="1173" w:type="dxa"/>
            <w:vAlign w:val="center"/>
          </w:tcPr>
          <w:p>
            <w:pPr>
              <w:spacing w:line="280" w:lineRule="exact"/>
              <w:jc w:val="center"/>
              <w:rPr>
                <w:sz w:val="24"/>
              </w:rPr>
            </w:pPr>
            <w:r>
              <w:rPr>
                <w:sz w:val="24"/>
              </w:rPr>
              <w:t>2.6</w:t>
            </w:r>
          </w:p>
        </w:tc>
        <w:tc>
          <w:tcPr>
            <w:tcW w:w="1250" w:type="dxa"/>
            <w:vAlign w:val="center"/>
          </w:tcPr>
          <w:p>
            <w:pPr>
              <w:spacing w:line="280" w:lineRule="exact"/>
              <w:jc w:val="center"/>
              <w:rPr>
                <w:sz w:val="24"/>
              </w:rPr>
            </w:pPr>
            <w:r>
              <w:rPr>
                <w:sz w:val="24"/>
              </w:rPr>
              <w:t>2.9</w:t>
            </w:r>
          </w:p>
        </w:tc>
        <w:tc>
          <w:tcPr>
            <w:tcW w:w="1243" w:type="dxa"/>
            <w:vAlign w:val="center"/>
          </w:tcPr>
          <w:p>
            <w:pPr>
              <w:spacing w:line="280" w:lineRule="exact"/>
              <w:jc w:val="center"/>
              <w:rPr>
                <w:sz w:val="24"/>
              </w:rPr>
            </w:pPr>
            <w:r>
              <w:rPr>
                <w:sz w:val="24"/>
              </w:rPr>
              <w:t>3.03</w:t>
            </w:r>
          </w:p>
        </w:tc>
        <w:tc>
          <w:tcPr>
            <w:tcW w:w="1183" w:type="dxa"/>
            <w:vAlign w:val="center"/>
          </w:tcPr>
          <w:p>
            <w:pPr>
              <w:spacing w:line="280" w:lineRule="exact"/>
              <w:jc w:val="center"/>
              <w:rPr>
                <w:sz w:val="24"/>
              </w:rPr>
            </w:pPr>
            <w:r>
              <w:rPr>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6</w:t>
            </w:r>
          </w:p>
        </w:tc>
        <w:tc>
          <w:tcPr>
            <w:tcW w:w="6158" w:type="dxa"/>
            <w:vAlign w:val="center"/>
          </w:tcPr>
          <w:p>
            <w:pPr>
              <w:spacing w:line="280" w:lineRule="exact"/>
              <w:rPr>
                <w:sz w:val="24"/>
              </w:rPr>
            </w:pPr>
            <w:r>
              <w:rPr>
                <w:sz w:val="24"/>
              </w:rPr>
              <w:t>每千人口床位数（张）</w:t>
            </w:r>
          </w:p>
        </w:tc>
        <w:tc>
          <w:tcPr>
            <w:tcW w:w="1173" w:type="dxa"/>
            <w:vAlign w:val="center"/>
          </w:tcPr>
          <w:p>
            <w:pPr>
              <w:spacing w:line="280" w:lineRule="exact"/>
              <w:jc w:val="center"/>
              <w:rPr>
                <w:sz w:val="24"/>
              </w:rPr>
            </w:pPr>
            <w:r>
              <w:rPr>
                <w:sz w:val="24"/>
              </w:rPr>
              <w:t>4.1</w:t>
            </w:r>
          </w:p>
        </w:tc>
        <w:tc>
          <w:tcPr>
            <w:tcW w:w="1250" w:type="dxa"/>
            <w:vAlign w:val="center"/>
          </w:tcPr>
          <w:p>
            <w:pPr>
              <w:spacing w:line="280" w:lineRule="exact"/>
              <w:jc w:val="center"/>
              <w:rPr>
                <w:sz w:val="24"/>
              </w:rPr>
            </w:pPr>
            <w:r>
              <w:rPr>
                <w:sz w:val="24"/>
              </w:rPr>
              <w:t>5.53</w:t>
            </w:r>
          </w:p>
        </w:tc>
        <w:tc>
          <w:tcPr>
            <w:tcW w:w="1243" w:type="dxa"/>
            <w:vAlign w:val="center"/>
          </w:tcPr>
          <w:p>
            <w:pPr>
              <w:spacing w:line="280" w:lineRule="exact"/>
              <w:jc w:val="center"/>
              <w:rPr>
                <w:sz w:val="24"/>
              </w:rPr>
            </w:pPr>
            <w:r>
              <w:rPr>
                <w:sz w:val="24"/>
              </w:rPr>
              <w:t>4.77</w:t>
            </w:r>
          </w:p>
        </w:tc>
        <w:tc>
          <w:tcPr>
            <w:tcW w:w="1183" w:type="dxa"/>
            <w:vAlign w:val="center"/>
          </w:tcPr>
          <w:p>
            <w:pPr>
              <w:spacing w:line="280" w:lineRule="exact"/>
              <w:jc w:val="center"/>
              <w:rPr>
                <w:sz w:val="24"/>
              </w:rPr>
            </w:pPr>
            <w:r>
              <w:rPr>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7</w:t>
            </w:r>
          </w:p>
        </w:tc>
        <w:tc>
          <w:tcPr>
            <w:tcW w:w="6158" w:type="dxa"/>
            <w:vAlign w:val="center"/>
          </w:tcPr>
          <w:p>
            <w:pPr>
              <w:spacing w:line="280" w:lineRule="exact"/>
              <w:rPr>
                <w:sz w:val="24"/>
              </w:rPr>
            </w:pPr>
            <w:r>
              <w:rPr>
                <w:sz w:val="24"/>
              </w:rPr>
              <w:t>经常参加体育锻炼人数比例（%）</w:t>
            </w:r>
          </w:p>
        </w:tc>
        <w:tc>
          <w:tcPr>
            <w:tcW w:w="1173" w:type="dxa"/>
            <w:vAlign w:val="center"/>
          </w:tcPr>
          <w:p>
            <w:pPr>
              <w:spacing w:line="280" w:lineRule="exact"/>
              <w:jc w:val="center"/>
              <w:rPr>
                <w:sz w:val="24"/>
              </w:rPr>
            </w:pPr>
            <w:r>
              <w:rPr>
                <w:sz w:val="24"/>
              </w:rPr>
              <w:t>38</w:t>
            </w:r>
          </w:p>
        </w:tc>
        <w:tc>
          <w:tcPr>
            <w:tcW w:w="1250" w:type="dxa"/>
            <w:vAlign w:val="center"/>
          </w:tcPr>
          <w:p>
            <w:pPr>
              <w:spacing w:line="280" w:lineRule="exact"/>
              <w:jc w:val="center"/>
              <w:rPr>
                <w:sz w:val="24"/>
              </w:rPr>
            </w:pPr>
            <w:r>
              <w:rPr>
                <w:rFonts w:hint="eastAsia" w:ascii="仿宋_GB2312"/>
                <w:sz w:val="24"/>
              </w:rPr>
              <w:t>≥</w:t>
            </w:r>
            <w:r>
              <w:rPr>
                <w:sz w:val="24"/>
              </w:rPr>
              <w:t>40</w:t>
            </w:r>
          </w:p>
        </w:tc>
        <w:tc>
          <w:tcPr>
            <w:tcW w:w="1243" w:type="dxa"/>
            <w:vAlign w:val="center"/>
          </w:tcPr>
          <w:p>
            <w:pPr>
              <w:spacing w:line="280" w:lineRule="exact"/>
              <w:jc w:val="center"/>
              <w:rPr>
                <w:sz w:val="24"/>
              </w:rPr>
            </w:pPr>
            <w:r>
              <w:rPr>
                <w:sz w:val="24"/>
              </w:rPr>
              <w:t>43.62</w:t>
            </w:r>
          </w:p>
        </w:tc>
        <w:tc>
          <w:tcPr>
            <w:tcW w:w="1183" w:type="dxa"/>
            <w:vAlign w:val="center"/>
          </w:tcPr>
          <w:p>
            <w:pPr>
              <w:spacing w:line="280" w:lineRule="exact"/>
              <w:jc w:val="center"/>
              <w:rPr>
                <w:sz w:val="24"/>
              </w:rPr>
            </w:pPr>
            <w:r>
              <w:rPr>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8</w:t>
            </w:r>
          </w:p>
        </w:tc>
        <w:tc>
          <w:tcPr>
            <w:tcW w:w="6158" w:type="dxa"/>
            <w:vAlign w:val="center"/>
          </w:tcPr>
          <w:p>
            <w:pPr>
              <w:spacing w:line="280" w:lineRule="exact"/>
              <w:rPr>
                <w:sz w:val="24"/>
              </w:rPr>
            </w:pPr>
            <w:r>
              <w:rPr>
                <w:sz w:val="24"/>
              </w:rPr>
              <w:t>县级公共图书馆人均藏书量</w:t>
            </w:r>
          </w:p>
        </w:tc>
        <w:tc>
          <w:tcPr>
            <w:tcW w:w="1173" w:type="dxa"/>
            <w:vAlign w:val="center"/>
          </w:tcPr>
          <w:p>
            <w:pPr>
              <w:spacing w:line="280" w:lineRule="exact"/>
              <w:jc w:val="center"/>
              <w:rPr>
                <w:sz w:val="24"/>
              </w:rPr>
            </w:pPr>
            <w:r>
              <w:rPr>
                <w:sz w:val="24"/>
              </w:rPr>
              <w:t>0.63</w:t>
            </w:r>
          </w:p>
        </w:tc>
        <w:tc>
          <w:tcPr>
            <w:tcW w:w="1250" w:type="dxa"/>
            <w:vAlign w:val="center"/>
          </w:tcPr>
          <w:p>
            <w:pPr>
              <w:spacing w:line="280" w:lineRule="exact"/>
              <w:jc w:val="center"/>
              <w:rPr>
                <w:sz w:val="24"/>
              </w:rPr>
            </w:pPr>
            <w:r>
              <w:rPr>
                <w:rFonts w:hint="eastAsia" w:ascii="仿宋_GB2312"/>
                <w:sz w:val="24"/>
              </w:rPr>
              <w:t>≥</w:t>
            </w:r>
            <w:r>
              <w:rPr>
                <w:sz w:val="24"/>
              </w:rPr>
              <w:t>1</w:t>
            </w:r>
          </w:p>
        </w:tc>
        <w:tc>
          <w:tcPr>
            <w:tcW w:w="1243" w:type="dxa"/>
            <w:vAlign w:val="center"/>
          </w:tcPr>
          <w:p>
            <w:pPr>
              <w:spacing w:line="280" w:lineRule="exact"/>
              <w:jc w:val="center"/>
              <w:rPr>
                <w:sz w:val="24"/>
              </w:rPr>
            </w:pPr>
            <w:r>
              <w:rPr>
                <w:sz w:val="24"/>
              </w:rPr>
              <w:t>1.40</w:t>
            </w:r>
          </w:p>
        </w:tc>
        <w:tc>
          <w:tcPr>
            <w:tcW w:w="1183" w:type="dxa"/>
            <w:vAlign w:val="center"/>
          </w:tcPr>
          <w:p>
            <w:pPr>
              <w:spacing w:line="280" w:lineRule="exact"/>
              <w:jc w:val="center"/>
              <w:rPr>
                <w:sz w:val="24"/>
              </w:rPr>
            </w:pPr>
            <w:r>
              <w:rPr>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9</w:t>
            </w:r>
          </w:p>
        </w:tc>
        <w:tc>
          <w:tcPr>
            <w:tcW w:w="6158" w:type="dxa"/>
            <w:vAlign w:val="center"/>
          </w:tcPr>
          <w:p>
            <w:pPr>
              <w:spacing w:line="280" w:lineRule="exact"/>
              <w:rPr>
                <w:sz w:val="24"/>
              </w:rPr>
            </w:pPr>
            <w:r>
              <w:rPr>
                <w:sz w:val="24"/>
              </w:rPr>
              <w:t>人均年观看文博展览、文艺表演（场次）</w:t>
            </w:r>
          </w:p>
        </w:tc>
        <w:tc>
          <w:tcPr>
            <w:tcW w:w="1173" w:type="dxa"/>
            <w:vAlign w:val="center"/>
          </w:tcPr>
          <w:p>
            <w:pPr>
              <w:spacing w:line="280" w:lineRule="exact"/>
              <w:jc w:val="center"/>
              <w:rPr>
                <w:sz w:val="24"/>
              </w:rPr>
            </w:pPr>
            <w:r>
              <w:rPr>
                <w:sz w:val="24"/>
              </w:rPr>
              <w:t>7.88</w:t>
            </w:r>
          </w:p>
        </w:tc>
        <w:tc>
          <w:tcPr>
            <w:tcW w:w="1250" w:type="dxa"/>
            <w:vAlign w:val="center"/>
          </w:tcPr>
          <w:p>
            <w:pPr>
              <w:spacing w:line="280" w:lineRule="exact"/>
              <w:jc w:val="center"/>
              <w:rPr>
                <w:sz w:val="24"/>
              </w:rPr>
            </w:pPr>
            <w:r>
              <w:rPr>
                <w:sz w:val="24"/>
              </w:rPr>
              <w:t>11</w:t>
            </w:r>
          </w:p>
        </w:tc>
        <w:tc>
          <w:tcPr>
            <w:tcW w:w="1243" w:type="dxa"/>
            <w:vAlign w:val="center"/>
          </w:tcPr>
          <w:p>
            <w:pPr>
              <w:spacing w:line="280" w:lineRule="exact"/>
              <w:jc w:val="center"/>
              <w:rPr>
                <w:sz w:val="24"/>
              </w:rPr>
            </w:pPr>
            <w:r>
              <w:rPr>
                <w:sz w:val="24"/>
              </w:rPr>
              <w:t>1.07</w:t>
            </w:r>
          </w:p>
        </w:tc>
        <w:tc>
          <w:tcPr>
            <w:tcW w:w="1183" w:type="dxa"/>
            <w:vAlign w:val="center"/>
          </w:tcPr>
          <w:p>
            <w:pPr>
              <w:spacing w:line="280" w:lineRule="exact"/>
              <w:jc w:val="center"/>
              <w:rPr>
                <w:sz w:val="24"/>
              </w:rPr>
            </w:pPr>
            <w:r>
              <w:rPr>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10</w:t>
            </w:r>
          </w:p>
        </w:tc>
        <w:tc>
          <w:tcPr>
            <w:tcW w:w="6158" w:type="dxa"/>
            <w:vAlign w:val="center"/>
          </w:tcPr>
          <w:p>
            <w:pPr>
              <w:spacing w:line="280" w:lineRule="exact"/>
              <w:rPr>
                <w:sz w:val="24"/>
              </w:rPr>
            </w:pPr>
            <w:r>
              <w:rPr>
                <w:sz w:val="24"/>
              </w:rPr>
              <w:t>广播、电视综合人口覆盖率（%）</w:t>
            </w:r>
          </w:p>
        </w:tc>
        <w:tc>
          <w:tcPr>
            <w:tcW w:w="1173" w:type="dxa"/>
            <w:vAlign w:val="center"/>
          </w:tcPr>
          <w:p>
            <w:pPr>
              <w:spacing w:line="280" w:lineRule="exact"/>
              <w:jc w:val="center"/>
              <w:rPr>
                <w:sz w:val="24"/>
              </w:rPr>
            </w:pPr>
            <w:r>
              <w:rPr>
                <w:sz w:val="24"/>
              </w:rPr>
              <w:t>99.72</w:t>
            </w:r>
          </w:p>
        </w:tc>
        <w:tc>
          <w:tcPr>
            <w:tcW w:w="1250" w:type="dxa"/>
            <w:vAlign w:val="center"/>
          </w:tcPr>
          <w:p>
            <w:pPr>
              <w:spacing w:line="280" w:lineRule="exact"/>
              <w:jc w:val="center"/>
              <w:rPr>
                <w:sz w:val="24"/>
              </w:rPr>
            </w:pPr>
            <w:r>
              <w:rPr>
                <w:sz w:val="24"/>
              </w:rPr>
              <w:t>99.9</w:t>
            </w:r>
          </w:p>
        </w:tc>
        <w:tc>
          <w:tcPr>
            <w:tcW w:w="1243" w:type="dxa"/>
            <w:vAlign w:val="center"/>
          </w:tcPr>
          <w:p>
            <w:pPr>
              <w:spacing w:line="280" w:lineRule="exact"/>
              <w:jc w:val="center"/>
              <w:rPr>
                <w:sz w:val="24"/>
              </w:rPr>
            </w:pPr>
            <w:r>
              <w:rPr>
                <w:sz w:val="24"/>
              </w:rPr>
              <w:t>100</w:t>
            </w:r>
          </w:p>
        </w:tc>
        <w:tc>
          <w:tcPr>
            <w:tcW w:w="1183" w:type="dxa"/>
            <w:vAlign w:val="center"/>
          </w:tcPr>
          <w:p>
            <w:pPr>
              <w:spacing w:line="280" w:lineRule="exact"/>
              <w:jc w:val="center"/>
              <w:rPr>
                <w:sz w:val="24"/>
              </w:rPr>
            </w:pPr>
            <w:r>
              <w:rPr>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restart"/>
            <w:vAlign w:val="center"/>
          </w:tcPr>
          <w:p>
            <w:pPr>
              <w:spacing w:line="280" w:lineRule="exact"/>
              <w:jc w:val="center"/>
              <w:rPr>
                <w:sz w:val="24"/>
              </w:rPr>
            </w:pPr>
            <w:r>
              <w:rPr>
                <w:sz w:val="24"/>
              </w:rPr>
              <w:t>基本民生性服务</w:t>
            </w:r>
          </w:p>
        </w:tc>
        <w:tc>
          <w:tcPr>
            <w:tcW w:w="831" w:type="dxa"/>
            <w:vAlign w:val="center"/>
          </w:tcPr>
          <w:p>
            <w:pPr>
              <w:spacing w:line="280" w:lineRule="exact"/>
              <w:jc w:val="center"/>
              <w:rPr>
                <w:sz w:val="24"/>
              </w:rPr>
            </w:pPr>
            <w:r>
              <w:rPr>
                <w:sz w:val="24"/>
              </w:rPr>
              <w:t>11</w:t>
            </w:r>
          </w:p>
        </w:tc>
        <w:tc>
          <w:tcPr>
            <w:tcW w:w="6158" w:type="dxa"/>
            <w:vAlign w:val="center"/>
          </w:tcPr>
          <w:p>
            <w:pPr>
              <w:spacing w:line="280" w:lineRule="exact"/>
              <w:rPr>
                <w:sz w:val="24"/>
              </w:rPr>
            </w:pPr>
            <w:r>
              <w:rPr>
                <w:sz w:val="24"/>
              </w:rPr>
              <w:t>城镇登记失业率（%）</w:t>
            </w:r>
          </w:p>
        </w:tc>
        <w:tc>
          <w:tcPr>
            <w:tcW w:w="1173" w:type="dxa"/>
            <w:vAlign w:val="center"/>
          </w:tcPr>
          <w:p>
            <w:pPr>
              <w:spacing w:line="280" w:lineRule="exact"/>
              <w:jc w:val="center"/>
              <w:rPr>
                <w:sz w:val="24"/>
              </w:rPr>
            </w:pPr>
            <w:r>
              <w:rPr>
                <w:sz w:val="24"/>
              </w:rPr>
              <w:t>3.44</w:t>
            </w:r>
          </w:p>
        </w:tc>
        <w:tc>
          <w:tcPr>
            <w:tcW w:w="1250" w:type="dxa"/>
            <w:vAlign w:val="center"/>
          </w:tcPr>
          <w:p>
            <w:pPr>
              <w:spacing w:line="280" w:lineRule="exact"/>
              <w:jc w:val="center"/>
              <w:rPr>
                <w:sz w:val="24"/>
              </w:rPr>
            </w:pPr>
            <w:r>
              <w:rPr>
                <w:sz w:val="24"/>
              </w:rPr>
              <w:t>&lt;4</w:t>
            </w:r>
          </w:p>
        </w:tc>
        <w:tc>
          <w:tcPr>
            <w:tcW w:w="1243" w:type="dxa"/>
            <w:vAlign w:val="center"/>
          </w:tcPr>
          <w:p>
            <w:pPr>
              <w:spacing w:line="280" w:lineRule="exact"/>
              <w:jc w:val="center"/>
              <w:rPr>
                <w:sz w:val="24"/>
              </w:rPr>
            </w:pPr>
            <w:r>
              <w:rPr>
                <w:sz w:val="24"/>
              </w:rPr>
              <w:t>1.35</w:t>
            </w:r>
          </w:p>
        </w:tc>
        <w:tc>
          <w:tcPr>
            <w:tcW w:w="1183" w:type="dxa"/>
            <w:vAlign w:val="center"/>
          </w:tcPr>
          <w:p>
            <w:pPr>
              <w:spacing w:line="280" w:lineRule="exact"/>
              <w:jc w:val="center"/>
              <w:rPr>
                <w:sz w:val="24"/>
              </w:rPr>
            </w:pPr>
            <w:r>
              <w:rPr>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12</w:t>
            </w:r>
          </w:p>
        </w:tc>
        <w:tc>
          <w:tcPr>
            <w:tcW w:w="6158" w:type="dxa"/>
            <w:vAlign w:val="center"/>
          </w:tcPr>
          <w:p>
            <w:pPr>
              <w:spacing w:line="280" w:lineRule="exact"/>
              <w:rPr>
                <w:sz w:val="24"/>
              </w:rPr>
            </w:pPr>
            <w:r>
              <w:rPr>
                <w:sz w:val="24"/>
              </w:rPr>
              <w:t>新增城镇就业人数（万人）</w:t>
            </w:r>
          </w:p>
        </w:tc>
        <w:tc>
          <w:tcPr>
            <w:tcW w:w="1173" w:type="dxa"/>
            <w:vAlign w:val="center"/>
          </w:tcPr>
          <w:p>
            <w:pPr>
              <w:spacing w:line="280" w:lineRule="exact"/>
              <w:jc w:val="center"/>
              <w:rPr>
                <w:sz w:val="24"/>
              </w:rPr>
            </w:pPr>
            <w:r>
              <w:rPr>
                <w:sz w:val="24"/>
              </w:rPr>
              <w:t>{30.41}</w:t>
            </w:r>
          </w:p>
        </w:tc>
        <w:tc>
          <w:tcPr>
            <w:tcW w:w="1250" w:type="dxa"/>
            <w:vAlign w:val="center"/>
          </w:tcPr>
          <w:p>
            <w:pPr>
              <w:spacing w:line="280" w:lineRule="exact"/>
              <w:jc w:val="center"/>
              <w:rPr>
                <w:sz w:val="24"/>
              </w:rPr>
            </w:pPr>
            <w:r>
              <w:rPr>
                <w:sz w:val="24"/>
              </w:rPr>
              <w:t>{25}</w:t>
            </w:r>
          </w:p>
        </w:tc>
        <w:tc>
          <w:tcPr>
            <w:tcW w:w="1243" w:type="dxa"/>
            <w:vAlign w:val="center"/>
          </w:tcPr>
          <w:p>
            <w:pPr>
              <w:spacing w:line="280" w:lineRule="exact"/>
              <w:jc w:val="center"/>
              <w:rPr>
                <w:sz w:val="24"/>
              </w:rPr>
            </w:pPr>
            <w:r>
              <w:rPr>
                <w:sz w:val="24"/>
              </w:rPr>
              <w:t>{91.41}</w:t>
            </w:r>
          </w:p>
        </w:tc>
        <w:tc>
          <w:tcPr>
            <w:tcW w:w="1183" w:type="dxa"/>
            <w:vAlign w:val="center"/>
          </w:tcPr>
          <w:p>
            <w:pPr>
              <w:spacing w:line="280" w:lineRule="exact"/>
              <w:jc w:val="center"/>
              <w:rPr>
                <w:sz w:val="24"/>
              </w:rPr>
            </w:pPr>
            <w:r>
              <w:rPr>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13</w:t>
            </w:r>
          </w:p>
        </w:tc>
        <w:tc>
          <w:tcPr>
            <w:tcW w:w="6158" w:type="dxa"/>
            <w:vAlign w:val="center"/>
          </w:tcPr>
          <w:p>
            <w:pPr>
              <w:spacing w:line="280" w:lineRule="exact"/>
              <w:rPr>
                <w:sz w:val="24"/>
              </w:rPr>
            </w:pPr>
            <w:r>
              <w:rPr>
                <w:sz w:val="24"/>
              </w:rPr>
              <w:t>企业劳动合同签约率（%）</w:t>
            </w:r>
          </w:p>
        </w:tc>
        <w:tc>
          <w:tcPr>
            <w:tcW w:w="1173" w:type="dxa"/>
            <w:vAlign w:val="center"/>
          </w:tcPr>
          <w:p>
            <w:pPr>
              <w:spacing w:line="280" w:lineRule="exact"/>
              <w:jc w:val="center"/>
              <w:rPr>
                <w:sz w:val="24"/>
              </w:rPr>
            </w:pPr>
            <w:r>
              <w:rPr>
                <w:sz w:val="24"/>
              </w:rPr>
              <w:t>95</w:t>
            </w:r>
          </w:p>
        </w:tc>
        <w:tc>
          <w:tcPr>
            <w:tcW w:w="1250" w:type="dxa"/>
            <w:vAlign w:val="center"/>
          </w:tcPr>
          <w:p>
            <w:pPr>
              <w:spacing w:line="280" w:lineRule="exact"/>
              <w:jc w:val="center"/>
              <w:rPr>
                <w:sz w:val="24"/>
              </w:rPr>
            </w:pPr>
            <w:r>
              <w:rPr>
                <w:sz w:val="24"/>
              </w:rPr>
              <w:t>99</w:t>
            </w:r>
          </w:p>
        </w:tc>
        <w:tc>
          <w:tcPr>
            <w:tcW w:w="1243" w:type="dxa"/>
            <w:vAlign w:val="center"/>
          </w:tcPr>
          <w:p>
            <w:pPr>
              <w:spacing w:line="280" w:lineRule="exact"/>
              <w:jc w:val="center"/>
              <w:rPr>
                <w:sz w:val="24"/>
              </w:rPr>
            </w:pPr>
            <w:r>
              <w:rPr>
                <w:sz w:val="24"/>
              </w:rPr>
              <w:t>97.7</w:t>
            </w:r>
          </w:p>
        </w:tc>
        <w:tc>
          <w:tcPr>
            <w:tcW w:w="1183" w:type="dxa"/>
            <w:vAlign w:val="center"/>
          </w:tcPr>
          <w:p>
            <w:pPr>
              <w:spacing w:line="280" w:lineRule="exact"/>
              <w:jc w:val="center"/>
              <w:rPr>
                <w:sz w:val="24"/>
              </w:rPr>
            </w:pPr>
            <w:r>
              <w:rPr>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14</w:t>
            </w:r>
          </w:p>
        </w:tc>
        <w:tc>
          <w:tcPr>
            <w:tcW w:w="6158" w:type="dxa"/>
            <w:vAlign w:val="center"/>
          </w:tcPr>
          <w:p>
            <w:pPr>
              <w:spacing w:line="280" w:lineRule="exact"/>
              <w:rPr>
                <w:sz w:val="24"/>
              </w:rPr>
            </w:pPr>
            <w:r>
              <w:rPr>
                <w:sz w:val="24"/>
              </w:rPr>
              <w:t>基本养老保险参保率（%）</w:t>
            </w:r>
          </w:p>
        </w:tc>
        <w:tc>
          <w:tcPr>
            <w:tcW w:w="1173" w:type="dxa"/>
            <w:vAlign w:val="center"/>
          </w:tcPr>
          <w:p>
            <w:pPr>
              <w:spacing w:line="280" w:lineRule="exact"/>
              <w:jc w:val="center"/>
              <w:rPr>
                <w:sz w:val="24"/>
              </w:rPr>
            </w:pPr>
            <w:r>
              <w:rPr>
                <w:sz w:val="24"/>
              </w:rPr>
              <w:t>70</w:t>
            </w:r>
          </w:p>
        </w:tc>
        <w:tc>
          <w:tcPr>
            <w:tcW w:w="1250" w:type="dxa"/>
            <w:vAlign w:val="center"/>
          </w:tcPr>
          <w:p>
            <w:pPr>
              <w:spacing w:line="280" w:lineRule="exact"/>
              <w:jc w:val="center"/>
              <w:rPr>
                <w:sz w:val="24"/>
              </w:rPr>
            </w:pPr>
            <w:r>
              <w:rPr>
                <w:sz w:val="24"/>
              </w:rPr>
              <w:t>&gt;95</w:t>
            </w:r>
          </w:p>
        </w:tc>
        <w:tc>
          <w:tcPr>
            <w:tcW w:w="1243" w:type="dxa"/>
            <w:vAlign w:val="center"/>
          </w:tcPr>
          <w:p>
            <w:pPr>
              <w:spacing w:line="280" w:lineRule="exact"/>
              <w:jc w:val="center"/>
              <w:rPr>
                <w:sz w:val="24"/>
              </w:rPr>
            </w:pPr>
            <w:r>
              <w:rPr>
                <w:sz w:val="24"/>
              </w:rPr>
              <w:t>98</w:t>
            </w:r>
          </w:p>
        </w:tc>
        <w:tc>
          <w:tcPr>
            <w:tcW w:w="1183" w:type="dxa"/>
            <w:vAlign w:val="center"/>
          </w:tcPr>
          <w:p>
            <w:pPr>
              <w:spacing w:line="280" w:lineRule="exact"/>
              <w:jc w:val="center"/>
              <w:rPr>
                <w:sz w:val="24"/>
              </w:rPr>
            </w:pPr>
            <w:r>
              <w:rPr>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15</w:t>
            </w:r>
          </w:p>
        </w:tc>
        <w:tc>
          <w:tcPr>
            <w:tcW w:w="6158" w:type="dxa"/>
            <w:vAlign w:val="center"/>
          </w:tcPr>
          <w:p>
            <w:pPr>
              <w:spacing w:line="280" w:lineRule="exact"/>
              <w:rPr>
                <w:sz w:val="24"/>
              </w:rPr>
            </w:pPr>
            <w:r>
              <w:rPr>
                <w:sz w:val="24"/>
              </w:rPr>
              <w:t>基本医疗保险参保率（%）</w:t>
            </w:r>
          </w:p>
        </w:tc>
        <w:tc>
          <w:tcPr>
            <w:tcW w:w="1173" w:type="dxa"/>
            <w:vAlign w:val="center"/>
          </w:tcPr>
          <w:p>
            <w:pPr>
              <w:spacing w:line="280" w:lineRule="exact"/>
              <w:jc w:val="center"/>
              <w:rPr>
                <w:sz w:val="24"/>
              </w:rPr>
            </w:pPr>
            <w:r>
              <w:rPr>
                <w:sz w:val="24"/>
              </w:rPr>
              <w:t>95</w:t>
            </w:r>
          </w:p>
        </w:tc>
        <w:tc>
          <w:tcPr>
            <w:tcW w:w="1250" w:type="dxa"/>
            <w:vAlign w:val="center"/>
          </w:tcPr>
          <w:p>
            <w:pPr>
              <w:spacing w:line="280" w:lineRule="exact"/>
              <w:jc w:val="center"/>
              <w:rPr>
                <w:sz w:val="24"/>
              </w:rPr>
            </w:pPr>
            <w:r>
              <w:rPr>
                <w:sz w:val="24"/>
              </w:rPr>
              <w:t>&gt;95</w:t>
            </w:r>
          </w:p>
        </w:tc>
        <w:tc>
          <w:tcPr>
            <w:tcW w:w="1243" w:type="dxa"/>
            <w:vAlign w:val="center"/>
          </w:tcPr>
          <w:p>
            <w:pPr>
              <w:spacing w:line="280" w:lineRule="exact"/>
              <w:jc w:val="center"/>
              <w:rPr>
                <w:sz w:val="24"/>
              </w:rPr>
            </w:pPr>
            <w:r>
              <w:rPr>
                <w:sz w:val="24"/>
              </w:rPr>
              <w:t>99以上</w:t>
            </w:r>
          </w:p>
        </w:tc>
        <w:tc>
          <w:tcPr>
            <w:tcW w:w="1183" w:type="dxa"/>
            <w:vAlign w:val="center"/>
          </w:tcPr>
          <w:p>
            <w:pPr>
              <w:spacing w:line="280" w:lineRule="exact"/>
              <w:jc w:val="center"/>
              <w:rPr>
                <w:sz w:val="24"/>
              </w:rPr>
            </w:pPr>
            <w:r>
              <w:rPr>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16</w:t>
            </w:r>
          </w:p>
        </w:tc>
        <w:tc>
          <w:tcPr>
            <w:tcW w:w="6158" w:type="dxa"/>
            <w:vAlign w:val="center"/>
          </w:tcPr>
          <w:p>
            <w:pPr>
              <w:spacing w:line="280" w:lineRule="exact"/>
              <w:rPr>
                <w:sz w:val="24"/>
              </w:rPr>
            </w:pPr>
            <w:r>
              <w:rPr>
                <w:sz w:val="24"/>
              </w:rPr>
              <w:t>每千名老人拥有社会养老床位数（张）</w:t>
            </w:r>
          </w:p>
        </w:tc>
        <w:tc>
          <w:tcPr>
            <w:tcW w:w="1173" w:type="dxa"/>
            <w:vAlign w:val="center"/>
          </w:tcPr>
          <w:p>
            <w:pPr>
              <w:spacing w:line="280" w:lineRule="exact"/>
              <w:jc w:val="center"/>
              <w:rPr>
                <w:sz w:val="24"/>
              </w:rPr>
            </w:pPr>
            <w:r>
              <w:rPr>
                <w:sz w:val="24"/>
              </w:rPr>
              <w:t>38.4</w:t>
            </w:r>
          </w:p>
        </w:tc>
        <w:tc>
          <w:tcPr>
            <w:tcW w:w="1250" w:type="dxa"/>
            <w:vAlign w:val="center"/>
          </w:tcPr>
          <w:p>
            <w:pPr>
              <w:spacing w:line="280" w:lineRule="exact"/>
              <w:jc w:val="center"/>
              <w:rPr>
                <w:sz w:val="24"/>
              </w:rPr>
            </w:pPr>
            <w:r>
              <w:rPr>
                <w:sz w:val="24"/>
              </w:rPr>
              <w:t>50</w:t>
            </w:r>
          </w:p>
        </w:tc>
        <w:tc>
          <w:tcPr>
            <w:tcW w:w="1243" w:type="dxa"/>
            <w:vAlign w:val="center"/>
          </w:tcPr>
          <w:p>
            <w:pPr>
              <w:spacing w:line="280" w:lineRule="exact"/>
              <w:jc w:val="center"/>
              <w:rPr>
                <w:sz w:val="24"/>
              </w:rPr>
            </w:pPr>
            <w:r>
              <w:rPr>
                <w:sz w:val="24"/>
              </w:rPr>
              <w:t>60.9</w:t>
            </w:r>
          </w:p>
        </w:tc>
        <w:tc>
          <w:tcPr>
            <w:tcW w:w="1183" w:type="dxa"/>
            <w:vAlign w:val="center"/>
          </w:tcPr>
          <w:p>
            <w:pPr>
              <w:spacing w:line="280" w:lineRule="exact"/>
              <w:jc w:val="center"/>
              <w:rPr>
                <w:sz w:val="24"/>
              </w:rPr>
            </w:pPr>
            <w:r>
              <w:rPr>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17</w:t>
            </w:r>
          </w:p>
        </w:tc>
        <w:tc>
          <w:tcPr>
            <w:tcW w:w="6158" w:type="dxa"/>
            <w:vAlign w:val="center"/>
          </w:tcPr>
          <w:p>
            <w:pPr>
              <w:spacing w:line="280" w:lineRule="exact"/>
              <w:rPr>
                <w:sz w:val="24"/>
              </w:rPr>
            </w:pPr>
            <w:r>
              <w:rPr>
                <w:sz w:val="24"/>
              </w:rPr>
              <w:t>城镇住房保障受益覆盖率（%）</w:t>
            </w:r>
          </w:p>
        </w:tc>
        <w:tc>
          <w:tcPr>
            <w:tcW w:w="1173" w:type="dxa"/>
            <w:vAlign w:val="center"/>
          </w:tcPr>
          <w:p>
            <w:pPr>
              <w:spacing w:line="280" w:lineRule="exact"/>
              <w:jc w:val="center"/>
              <w:rPr>
                <w:sz w:val="24"/>
              </w:rPr>
            </w:pPr>
            <w:r>
              <w:rPr>
                <w:sz w:val="24"/>
              </w:rPr>
              <w:t>－</w:t>
            </w:r>
          </w:p>
        </w:tc>
        <w:tc>
          <w:tcPr>
            <w:tcW w:w="1250" w:type="dxa"/>
            <w:vAlign w:val="center"/>
          </w:tcPr>
          <w:p>
            <w:pPr>
              <w:spacing w:line="280" w:lineRule="exact"/>
              <w:jc w:val="center"/>
              <w:rPr>
                <w:sz w:val="24"/>
              </w:rPr>
            </w:pPr>
            <w:r>
              <w:rPr>
                <w:sz w:val="24"/>
              </w:rPr>
              <w:t>23</w:t>
            </w:r>
          </w:p>
        </w:tc>
        <w:tc>
          <w:tcPr>
            <w:tcW w:w="1243" w:type="dxa"/>
            <w:vAlign w:val="center"/>
          </w:tcPr>
          <w:p>
            <w:pPr>
              <w:spacing w:line="280" w:lineRule="exact"/>
              <w:jc w:val="center"/>
              <w:rPr>
                <w:sz w:val="24"/>
              </w:rPr>
            </w:pPr>
            <w:r>
              <w:rPr>
                <w:sz w:val="24"/>
              </w:rPr>
              <w:t>23.75</w:t>
            </w:r>
          </w:p>
        </w:tc>
        <w:tc>
          <w:tcPr>
            <w:tcW w:w="1183" w:type="dxa"/>
            <w:vAlign w:val="center"/>
          </w:tcPr>
          <w:p>
            <w:pPr>
              <w:spacing w:line="280" w:lineRule="exact"/>
              <w:jc w:val="center"/>
              <w:rPr>
                <w:sz w:val="24"/>
              </w:rPr>
            </w:pPr>
            <w:r>
              <w:rPr>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18</w:t>
            </w:r>
          </w:p>
        </w:tc>
        <w:tc>
          <w:tcPr>
            <w:tcW w:w="6158" w:type="dxa"/>
            <w:vAlign w:val="center"/>
          </w:tcPr>
          <w:p>
            <w:pPr>
              <w:spacing w:line="280" w:lineRule="exact"/>
              <w:rPr>
                <w:sz w:val="24"/>
              </w:rPr>
            </w:pPr>
            <w:r>
              <w:rPr>
                <w:sz w:val="24"/>
              </w:rPr>
              <w:t>残疾人全面小康实现程度（%）</w:t>
            </w:r>
          </w:p>
        </w:tc>
        <w:tc>
          <w:tcPr>
            <w:tcW w:w="1173" w:type="dxa"/>
            <w:vAlign w:val="center"/>
          </w:tcPr>
          <w:p>
            <w:pPr>
              <w:spacing w:line="280" w:lineRule="exact"/>
              <w:jc w:val="center"/>
              <w:rPr>
                <w:sz w:val="24"/>
              </w:rPr>
            </w:pPr>
            <w:r>
              <w:rPr>
                <w:sz w:val="24"/>
              </w:rPr>
              <w:t>90.23</w:t>
            </w:r>
          </w:p>
        </w:tc>
        <w:tc>
          <w:tcPr>
            <w:tcW w:w="1250" w:type="dxa"/>
            <w:vAlign w:val="center"/>
          </w:tcPr>
          <w:p>
            <w:pPr>
              <w:spacing w:line="280" w:lineRule="exact"/>
              <w:jc w:val="center"/>
              <w:rPr>
                <w:sz w:val="24"/>
              </w:rPr>
            </w:pPr>
            <w:r>
              <w:rPr>
                <w:rFonts w:hint="eastAsia" w:ascii="仿宋_GB2312"/>
                <w:sz w:val="24"/>
              </w:rPr>
              <w:t>≥</w:t>
            </w:r>
            <w:r>
              <w:rPr>
                <w:sz w:val="24"/>
              </w:rPr>
              <w:t>96</w:t>
            </w:r>
          </w:p>
        </w:tc>
        <w:tc>
          <w:tcPr>
            <w:tcW w:w="1243" w:type="dxa"/>
            <w:vAlign w:val="center"/>
          </w:tcPr>
          <w:p>
            <w:pPr>
              <w:spacing w:line="280" w:lineRule="exact"/>
              <w:jc w:val="center"/>
              <w:rPr>
                <w:sz w:val="24"/>
              </w:rPr>
            </w:pPr>
            <w:r>
              <w:rPr>
                <w:sz w:val="24"/>
              </w:rPr>
              <w:t>99.78</w:t>
            </w:r>
          </w:p>
        </w:tc>
        <w:tc>
          <w:tcPr>
            <w:tcW w:w="1183" w:type="dxa"/>
            <w:vAlign w:val="center"/>
          </w:tcPr>
          <w:p>
            <w:pPr>
              <w:spacing w:line="280" w:lineRule="exact"/>
              <w:jc w:val="center"/>
              <w:rPr>
                <w:sz w:val="24"/>
              </w:rPr>
            </w:pPr>
            <w:r>
              <w:rPr>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19</w:t>
            </w:r>
          </w:p>
        </w:tc>
        <w:tc>
          <w:tcPr>
            <w:tcW w:w="6158" w:type="dxa"/>
            <w:vAlign w:val="center"/>
          </w:tcPr>
          <w:p>
            <w:pPr>
              <w:spacing w:line="280" w:lineRule="exact"/>
              <w:rPr>
                <w:sz w:val="24"/>
              </w:rPr>
            </w:pPr>
            <w:r>
              <w:rPr>
                <w:sz w:val="24"/>
              </w:rPr>
              <w:t>困难残疾人生活补贴、重度残疾人护理补贴覆盖率（%）</w:t>
            </w:r>
          </w:p>
        </w:tc>
        <w:tc>
          <w:tcPr>
            <w:tcW w:w="1173" w:type="dxa"/>
            <w:vAlign w:val="center"/>
          </w:tcPr>
          <w:p>
            <w:pPr>
              <w:spacing w:line="280" w:lineRule="exact"/>
              <w:jc w:val="center"/>
              <w:rPr>
                <w:sz w:val="24"/>
              </w:rPr>
            </w:pPr>
            <w:r>
              <w:rPr>
                <w:sz w:val="24"/>
              </w:rPr>
              <w:t>－</w:t>
            </w:r>
          </w:p>
        </w:tc>
        <w:tc>
          <w:tcPr>
            <w:tcW w:w="1250" w:type="dxa"/>
            <w:vAlign w:val="center"/>
          </w:tcPr>
          <w:p>
            <w:pPr>
              <w:spacing w:line="280" w:lineRule="exact"/>
              <w:jc w:val="center"/>
              <w:rPr>
                <w:sz w:val="24"/>
              </w:rPr>
            </w:pPr>
            <w:r>
              <w:rPr>
                <w:rFonts w:hint="eastAsia" w:ascii="仿宋_GB2312"/>
                <w:sz w:val="24"/>
              </w:rPr>
              <w:t>≥</w:t>
            </w:r>
            <w:r>
              <w:rPr>
                <w:sz w:val="24"/>
              </w:rPr>
              <w:t>98</w:t>
            </w:r>
          </w:p>
        </w:tc>
        <w:tc>
          <w:tcPr>
            <w:tcW w:w="1243" w:type="dxa"/>
            <w:vAlign w:val="center"/>
          </w:tcPr>
          <w:p>
            <w:pPr>
              <w:spacing w:line="280" w:lineRule="exact"/>
              <w:jc w:val="center"/>
              <w:rPr>
                <w:sz w:val="24"/>
              </w:rPr>
            </w:pPr>
            <w:r>
              <w:rPr>
                <w:sz w:val="24"/>
              </w:rPr>
              <w:t>98</w:t>
            </w:r>
          </w:p>
        </w:tc>
        <w:tc>
          <w:tcPr>
            <w:tcW w:w="1183" w:type="dxa"/>
            <w:vAlign w:val="center"/>
          </w:tcPr>
          <w:p>
            <w:pPr>
              <w:spacing w:line="280" w:lineRule="exact"/>
              <w:jc w:val="center"/>
              <w:rPr>
                <w:sz w:val="24"/>
              </w:rPr>
            </w:pPr>
            <w:r>
              <w:rPr>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restart"/>
            <w:vAlign w:val="center"/>
          </w:tcPr>
          <w:p>
            <w:pPr>
              <w:spacing w:line="280" w:lineRule="exact"/>
              <w:jc w:val="center"/>
              <w:rPr>
                <w:sz w:val="24"/>
              </w:rPr>
            </w:pPr>
            <w:r>
              <w:rPr>
                <w:sz w:val="24"/>
              </w:rPr>
              <w:t>公益基础性服务</w:t>
            </w:r>
          </w:p>
        </w:tc>
        <w:tc>
          <w:tcPr>
            <w:tcW w:w="831" w:type="dxa"/>
            <w:vAlign w:val="center"/>
          </w:tcPr>
          <w:p>
            <w:pPr>
              <w:spacing w:line="280" w:lineRule="exact"/>
              <w:jc w:val="center"/>
              <w:rPr>
                <w:sz w:val="24"/>
              </w:rPr>
            </w:pPr>
            <w:r>
              <w:rPr>
                <w:sz w:val="24"/>
              </w:rPr>
              <w:t>20</w:t>
            </w:r>
          </w:p>
        </w:tc>
        <w:tc>
          <w:tcPr>
            <w:tcW w:w="6158" w:type="dxa"/>
            <w:vAlign w:val="center"/>
          </w:tcPr>
          <w:p>
            <w:pPr>
              <w:spacing w:line="280" w:lineRule="exact"/>
              <w:rPr>
                <w:sz w:val="24"/>
              </w:rPr>
            </w:pPr>
            <w:r>
              <w:rPr>
                <w:sz w:val="24"/>
              </w:rPr>
              <w:t>城市公共交通出行分担率（%）</w:t>
            </w:r>
          </w:p>
        </w:tc>
        <w:tc>
          <w:tcPr>
            <w:tcW w:w="1173" w:type="dxa"/>
            <w:vAlign w:val="center"/>
          </w:tcPr>
          <w:p>
            <w:pPr>
              <w:spacing w:line="280" w:lineRule="exact"/>
              <w:jc w:val="center"/>
              <w:rPr>
                <w:sz w:val="24"/>
              </w:rPr>
            </w:pPr>
            <w:r>
              <w:rPr>
                <w:sz w:val="24"/>
              </w:rPr>
              <w:t>13.6</w:t>
            </w:r>
          </w:p>
        </w:tc>
        <w:tc>
          <w:tcPr>
            <w:tcW w:w="1250" w:type="dxa"/>
            <w:vAlign w:val="center"/>
          </w:tcPr>
          <w:p>
            <w:pPr>
              <w:spacing w:line="280" w:lineRule="exact"/>
              <w:jc w:val="center"/>
              <w:rPr>
                <w:sz w:val="24"/>
              </w:rPr>
            </w:pPr>
            <w:r>
              <w:rPr>
                <w:sz w:val="24"/>
              </w:rPr>
              <w:t>30</w:t>
            </w:r>
          </w:p>
        </w:tc>
        <w:tc>
          <w:tcPr>
            <w:tcW w:w="1243" w:type="dxa"/>
            <w:vAlign w:val="center"/>
          </w:tcPr>
          <w:p>
            <w:pPr>
              <w:spacing w:line="280" w:lineRule="exact"/>
              <w:jc w:val="center"/>
              <w:rPr>
                <w:sz w:val="24"/>
              </w:rPr>
            </w:pPr>
            <w:r>
              <w:rPr>
                <w:sz w:val="24"/>
              </w:rPr>
              <w:t>25.5</w:t>
            </w:r>
          </w:p>
        </w:tc>
        <w:tc>
          <w:tcPr>
            <w:tcW w:w="1183" w:type="dxa"/>
            <w:vAlign w:val="center"/>
          </w:tcPr>
          <w:p>
            <w:pPr>
              <w:spacing w:line="280" w:lineRule="exact"/>
              <w:jc w:val="center"/>
              <w:rPr>
                <w:sz w:val="24"/>
              </w:rPr>
            </w:pPr>
            <w:r>
              <w:rPr>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21</w:t>
            </w:r>
          </w:p>
        </w:tc>
        <w:tc>
          <w:tcPr>
            <w:tcW w:w="6158" w:type="dxa"/>
            <w:vAlign w:val="center"/>
          </w:tcPr>
          <w:p>
            <w:pPr>
              <w:spacing w:line="280" w:lineRule="exact"/>
              <w:rPr>
                <w:sz w:val="24"/>
              </w:rPr>
            </w:pPr>
            <w:r>
              <w:rPr>
                <w:sz w:val="24"/>
              </w:rPr>
              <w:t>农村公路等级化率（%）</w:t>
            </w:r>
          </w:p>
        </w:tc>
        <w:tc>
          <w:tcPr>
            <w:tcW w:w="1173" w:type="dxa"/>
            <w:vAlign w:val="center"/>
          </w:tcPr>
          <w:p>
            <w:pPr>
              <w:spacing w:line="280" w:lineRule="exact"/>
              <w:jc w:val="center"/>
              <w:rPr>
                <w:sz w:val="24"/>
              </w:rPr>
            </w:pPr>
            <w:r>
              <w:rPr>
                <w:sz w:val="24"/>
              </w:rPr>
              <w:t>98.4</w:t>
            </w:r>
          </w:p>
        </w:tc>
        <w:tc>
          <w:tcPr>
            <w:tcW w:w="1250" w:type="dxa"/>
            <w:vAlign w:val="center"/>
          </w:tcPr>
          <w:p>
            <w:pPr>
              <w:spacing w:line="280" w:lineRule="exact"/>
              <w:jc w:val="center"/>
              <w:rPr>
                <w:sz w:val="24"/>
              </w:rPr>
            </w:pPr>
            <w:r>
              <w:rPr>
                <w:sz w:val="24"/>
              </w:rPr>
              <w:t>100</w:t>
            </w:r>
          </w:p>
        </w:tc>
        <w:tc>
          <w:tcPr>
            <w:tcW w:w="1243" w:type="dxa"/>
            <w:vAlign w:val="center"/>
          </w:tcPr>
          <w:p>
            <w:pPr>
              <w:spacing w:line="280" w:lineRule="exact"/>
              <w:jc w:val="center"/>
              <w:rPr>
                <w:sz w:val="24"/>
              </w:rPr>
            </w:pPr>
            <w:r>
              <w:rPr>
                <w:sz w:val="24"/>
              </w:rPr>
              <w:t>100</w:t>
            </w:r>
          </w:p>
        </w:tc>
        <w:tc>
          <w:tcPr>
            <w:tcW w:w="1183" w:type="dxa"/>
            <w:vAlign w:val="center"/>
          </w:tcPr>
          <w:p>
            <w:pPr>
              <w:spacing w:line="280" w:lineRule="exact"/>
              <w:jc w:val="center"/>
              <w:rPr>
                <w:sz w:val="24"/>
              </w:rPr>
            </w:pPr>
            <w:r>
              <w:rPr>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22</w:t>
            </w:r>
          </w:p>
        </w:tc>
        <w:tc>
          <w:tcPr>
            <w:tcW w:w="6158" w:type="dxa"/>
            <w:vAlign w:val="center"/>
          </w:tcPr>
          <w:p>
            <w:pPr>
              <w:spacing w:line="280" w:lineRule="exact"/>
              <w:rPr>
                <w:sz w:val="24"/>
              </w:rPr>
            </w:pPr>
            <w:r>
              <w:rPr>
                <w:sz w:val="24"/>
              </w:rPr>
              <w:t>具备条件建制村客运车辆通达率（%）</w:t>
            </w:r>
          </w:p>
        </w:tc>
        <w:tc>
          <w:tcPr>
            <w:tcW w:w="1173" w:type="dxa"/>
            <w:vAlign w:val="center"/>
          </w:tcPr>
          <w:p>
            <w:pPr>
              <w:spacing w:line="280" w:lineRule="exact"/>
              <w:jc w:val="center"/>
              <w:rPr>
                <w:sz w:val="24"/>
              </w:rPr>
            </w:pPr>
            <w:r>
              <w:rPr>
                <w:sz w:val="24"/>
              </w:rPr>
              <w:t>94.72</w:t>
            </w:r>
          </w:p>
        </w:tc>
        <w:tc>
          <w:tcPr>
            <w:tcW w:w="1250" w:type="dxa"/>
            <w:vAlign w:val="center"/>
          </w:tcPr>
          <w:p>
            <w:pPr>
              <w:spacing w:line="280" w:lineRule="exact"/>
              <w:jc w:val="center"/>
              <w:rPr>
                <w:sz w:val="24"/>
              </w:rPr>
            </w:pPr>
            <w:r>
              <w:rPr>
                <w:sz w:val="24"/>
              </w:rPr>
              <w:t>100</w:t>
            </w:r>
          </w:p>
        </w:tc>
        <w:tc>
          <w:tcPr>
            <w:tcW w:w="1243" w:type="dxa"/>
            <w:vAlign w:val="center"/>
          </w:tcPr>
          <w:p>
            <w:pPr>
              <w:spacing w:line="280" w:lineRule="exact"/>
              <w:jc w:val="center"/>
              <w:rPr>
                <w:sz w:val="24"/>
              </w:rPr>
            </w:pPr>
            <w:r>
              <w:rPr>
                <w:sz w:val="24"/>
              </w:rPr>
              <w:t>100</w:t>
            </w:r>
          </w:p>
        </w:tc>
        <w:tc>
          <w:tcPr>
            <w:tcW w:w="1183" w:type="dxa"/>
            <w:vAlign w:val="center"/>
          </w:tcPr>
          <w:p>
            <w:pPr>
              <w:spacing w:line="280" w:lineRule="exact"/>
              <w:jc w:val="center"/>
              <w:rPr>
                <w:sz w:val="24"/>
              </w:rPr>
            </w:pPr>
            <w:r>
              <w:rPr>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23</w:t>
            </w:r>
          </w:p>
        </w:tc>
        <w:tc>
          <w:tcPr>
            <w:tcW w:w="6158" w:type="dxa"/>
            <w:vAlign w:val="center"/>
          </w:tcPr>
          <w:p>
            <w:pPr>
              <w:spacing w:line="280" w:lineRule="exact"/>
              <w:rPr>
                <w:sz w:val="24"/>
              </w:rPr>
            </w:pPr>
            <w:r>
              <w:rPr>
                <w:sz w:val="24"/>
              </w:rPr>
              <w:t>地表水县控以上断面水质好于Ⅲ类的比例（%）</w:t>
            </w:r>
          </w:p>
        </w:tc>
        <w:tc>
          <w:tcPr>
            <w:tcW w:w="1173" w:type="dxa"/>
            <w:vAlign w:val="center"/>
          </w:tcPr>
          <w:p>
            <w:pPr>
              <w:spacing w:line="280" w:lineRule="exact"/>
              <w:jc w:val="center"/>
              <w:rPr>
                <w:sz w:val="24"/>
              </w:rPr>
            </w:pPr>
            <w:r>
              <w:rPr>
                <w:sz w:val="24"/>
              </w:rPr>
              <w:t>65.5</w:t>
            </w:r>
          </w:p>
        </w:tc>
        <w:tc>
          <w:tcPr>
            <w:tcW w:w="1250" w:type="dxa"/>
            <w:vAlign w:val="center"/>
          </w:tcPr>
          <w:p>
            <w:pPr>
              <w:spacing w:line="280" w:lineRule="exact"/>
              <w:jc w:val="center"/>
              <w:rPr>
                <w:sz w:val="24"/>
              </w:rPr>
            </w:pPr>
            <w:r>
              <w:rPr>
                <w:sz w:val="24"/>
              </w:rPr>
              <w:t>70</w:t>
            </w:r>
          </w:p>
        </w:tc>
        <w:tc>
          <w:tcPr>
            <w:tcW w:w="1243" w:type="dxa"/>
            <w:vAlign w:val="center"/>
          </w:tcPr>
          <w:p>
            <w:pPr>
              <w:spacing w:line="280" w:lineRule="exact"/>
              <w:jc w:val="center"/>
              <w:rPr>
                <w:sz w:val="24"/>
              </w:rPr>
            </w:pPr>
            <w:r>
              <w:rPr>
                <w:sz w:val="24"/>
              </w:rPr>
              <w:t>80</w:t>
            </w:r>
          </w:p>
        </w:tc>
        <w:tc>
          <w:tcPr>
            <w:tcW w:w="1183" w:type="dxa"/>
            <w:vAlign w:val="center"/>
          </w:tcPr>
          <w:p>
            <w:pPr>
              <w:spacing w:line="280" w:lineRule="exact"/>
              <w:jc w:val="center"/>
              <w:rPr>
                <w:sz w:val="24"/>
              </w:rPr>
            </w:pPr>
            <w:r>
              <w:rPr>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24</w:t>
            </w:r>
          </w:p>
        </w:tc>
        <w:tc>
          <w:tcPr>
            <w:tcW w:w="6158" w:type="dxa"/>
            <w:vAlign w:val="center"/>
          </w:tcPr>
          <w:p>
            <w:pPr>
              <w:spacing w:line="280" w:lineRule="exact"/>
              <w:rPr>
                <w:sz w:val="24"/>
              </w:rPr>
            </w:pPr>
            <w:r>
              <w:rPr>
                <w:sz w:val="24"/>
              </w:rPr>
              <w:t>省控地表水交接断面水质达标率（%）</w:t>
            </w:r>
          </w:p>
        </w:tc>
        <w:tc>
          <w:tcPr>
            <w:tcW w:w="1173" w:type="dxa"/>
            <w:vAlign w:val="center"/>
          </w:tcPr>
          <w:p>
            <w:pPr>
              <w:spacing w:line="280" w:lineRule="exact"/>
              <w:jc w:val="center"/>
              <w:rPr>
                <w:sz w:val="24"/>
              </w:rPr>
            </w:pPr>
            <w:r>
              <w:rPr>
                <w:sz w:val="24"/>
              </w:rPr>
              <w:t>54.5</w:t>
            </w:r>
          </w:p>
        </w:tc>
        <w:tc>
          <w:tcPr>
            <w:tcW w:w="1250" w:type="dxa"/>
            <w:vAlign w:val="center"/>
          </w:tcPr>
          <w:p>
            <w:pPr>
              <w:spacing w:line="280" w:lineRule="exact"/>
              <w:jc w:val="center"/>
              <w:rPr>
                <w:sz w:val="24"/>
              </w:rPr>
            </w:pPr>
            <w:r>
              <w:rPr>
                <w:sz w:val="24"/>
              </w:rPr>
              <w:t>83.3</w:t>
            </w:r>
          </w:p>
        </w:tc>
        <w:tc>
          <w:tcPr>
            <w:tcW w:w="1243" w:type="dxa"/>
            <w:vAlign w:val="center"/>
          </w:tcPr>
          <w:p>
            <w:pPr>
              <w:spacing w:line="280" w:lineRule="exact"/>
              <w:jc w:val="center"/>
              <w:rPr>
                <w:sz w:val="24"/>
              </w:rPr>
            </w:pPr>
            <w:r>
              <w:rPr>
                <w:sz w:val="24"/>
              </w:rPr>
              <w:t>100</w:t>
            </w:r>
          </w:p>
        </w:tc>
        <w:tc>
          <w:tcPr>
            <w:tcW w:w="1183" w:type="dxa"/>
            <w:vAlign w:val="center"/>
          </w:tcPr>
          <w:p>
            <w:pPr>
              <w:spacing w:line="280" w:lineRule="exact"/>
              <w:jc w:val="center"/>
              <w:rPr>
                <w:sz w:val="24"/>
              </w:rPr>
            </w:pPr>
            <w:r>
              <w:rPr>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25</w:t>
            </w:r>
          </w:p>
        </w:tc>
        <w:tc>
          <w:tcPr>
            <w:tcW w:w="6158" w:type="dxa"/>
            <w:vAlign w:val="center"/>
          </w:tcPr>
          <w:p>
            <w:pPr>
              <w:spacing w:line="280" w:lineRule="exact"/>
              <w:rPr>
                <w:sz w:val="24"/>
              </w:rPr>
            </w:pPr>
            <w:r>
              <w:rPr>
                <w:sz w:val="24"/>
              </w:rPr>
              <w:t>县级以上城市集中式饮用水水源地水质达标率（%）</w:t>
            </w:r>
          </w:p>
        </w:tc>
        <w:tc>
          <w:tcPr>
            <w:tcW w:w="1173" w:type="dxa"/>
            <w:vAlign w:val="center"/>
          </w:tcPr>
          <w:p>
            <w:pPr>
              <w:spacing w:line="280" w:lineRule="exact"/>
              <w:jc w:val="center"/>
              <w:rPr>
                <w:sz w:val="24"/>
              </w:rPr>
            </w:pPr>
            <w:r>
              <w:rPr>
                <w:sz w:val="24"/>
              </w:rPr>
              <w:t>100</w:t>
            </w:r>
          </w:p>
        </w:tc>
        <w:tc>
          <w:tcPr>
            <w:tcW w:w="1250" w:type="dxa"/>
            <w:vAlign w:val="center"/>
          </w:tcPr>
          <w:p>
            <w:pPr>
              <w:spacing w:line="280" w:lineRule="exact"/>
              <w:jc w:val="center"/>
              <w:rPr>
                <w:sz w:val="24"/>
              </w:rPr>
            </w:pPr>
            <w:r>
              <w:rPr>
                <w:sz w:val="24"/>
              </w:rPr>
              <w:t>100</w:t>
            </w:r>
          </w:p>
        </w:tc>
        <w:tc>
          <w:tcPr>
            <w:tcW w:w="1243" w:type="dxa"/>
            <w:vAlign w:val="center"/>
          </w:tcPr>
          <w:p>
            <w:pPr>
              <w:spacing w:line="280" w:lineRule="exact"/>
              <w:jc w:val="center"/>
              <w:rPr>
                <w:sz w:val="24"/>
              </w:rPr>
            </w:pPr>
            <w:r>
              <w:rPr>
                <w:sz w:val="24"/>
              </w:rPr>
              <w:t>100</w:t>
            </w:r>
          </w:p>
        </w:tc>
        <w:tc>
          <w:tcPr>
            <w:tcW w:w="1183" w:type="dxa"/>
            <w:vAlign w:val="center"/>
          </w:tcPr>
          <w:p>
            <w:pPr>
              <w:spacing w:line="280" w:lineRule="exact"/>
              <w:jc w:val="center"/>
              <w:rPr>
                <w:sz w:val="24"/>
              </w:rPr>
            </w:pPr>
            <w:r>
              <w:rPr>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26</w:t>
            </w:r>
          </w:p>
        </w:tc>
        <w:tc>
          <w:tcPr>
            <w:tcW w:w="6158" w:type="dxa"/>
            <w:vAlign w:val="center"/>
          </w:tcPr>
          <w:p>
            <w:pPr>
              <w:spacing w:line="280" w:lineRule="exact"/>
              <w:rPr>
                <w:sz w:val="24"/>
              </w:rPr>
            </w:pPr>
            <w:r>
              <w:rPr>
                <w:sz w:val="24"/>
              </w:rPr>
              <w:t>全市环境空气AQI优良率</w:t>
            </w:r>
            <w:r>
              <w:rPr>
                <w:rFonts w:hint="eastAsia"/>
                <w:sz w:val="24"/>
              </w:rPr>
              <w:t>（%）</w:t>
            </w:r>
          </w:p>
        </w:tc>
        <w:tc>
          <w:tcPr>
            <w:tcW w:w="1173" w:type="dxa"/>
            <w:vAlign w:val="center"/>
          </w:tcPr>
          <w:p>
            <w:pPr>
              <w:spacing w:line="280" w:lineRule="exact"/>
              <w:jc w:val="center"/>
              <w:rPr>
                <w:sz w:val="24"/>
              </w:rPr>
            </w:pPr>
            <w:r>
              <w:rPr>
                <w:sz w:val="24"/>
              </w:rPr>
              <w:t>90</w:t>
            </w:r>
          </w:p>
        </w:tc>
        <w:tc>
          <w:tcPr>
            <w:tcW w:w="1250" w:type="dxa"/>
            <w:vAlign w:val="center"/>
          </w:tcPr>
          <w:p>
            <w:pPr>
              <w:spacing w:line="280" w:lineRule="exact"/>
              <w:jc w:val="center"/>
              <w:rPr>
                <w:sz w:val="24"/>
              </w:rPr>
            </w:pPr>
            <w:r>
              <w:rPr>
                <w:sz w:val="24"/>
              </w:rPr>
              <w:t>92</w:t>
            </w:r>
          </w:p>
        </w:tc>
        <w:tc>
          <w:tcPr>
            <w:tcW w:w="1243" w:type="dxa"/>
            <w:vAlign w:val="center"/>
          </w:tcPr>
          <w:p>
            <w:pPr>
              <w:spacing w:line="280" w:lineRule="exact"/>
              <w:jc w:val="center"/>
              <w:rPr>
                <w:sz w:val="24"/>
              </w:rPr>
            </w:pPr>
            <w:r>
              <w:rPr>
                <w:sz w:val="24"/>
              </w:rPr>
              <w:t>98</w:t>
            </w:r>
          </w:p>
        </w:tc>
        <w:tc>
          <w:tcPr>
            <w:tcW w:w="1183" w:type="dxa"/>
            <w:vAlign w:val="center"/>
          </w:tcPr>
          <w:p>
            <w:pPr>
              <w:spacing w:line="280" w:lineRule="exact"/>
              <w:jc w:val="center"/>
              <w:rPr>
                <w:sz w:val="24"/>
              </w:rPr>
            </w:pPr>
            <w:r>
              <w:rPr>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27</w:t>
            </w:r>
          </w:p>
        </w:tc>
        <w:tc>
          <w:tcPr>
            <w:tcW w:w="6158" w:type="dxa"/>
            <w:vAlign w:val="center"/>
          </w:tcPr>
          <w:p>
            <w:pPr>
              <w:spacing w:line="280" w:lineRule="exact"/>
              <w:rPr>
                <w:sz w:val="24"/>
              </w:rPr>
            </w:pPr>
            <w:r>
              <w:rPr>
                <w:sz w:val="24"/>
              </w:rPr>
              <w:t>城市（县城）污水集中处理率（%）</w:t>
            </w:r>
          </w:p>
        </w:tc>
        <w:tc>
          <w:tcPr>
            <w:tcW w:w="1173" w:type="dxa"/>
            <w:vAlign w:val="center"/>
          </w:tcPr>
          <w:p>
            <w:pPr>
              <w:spacing w:line="280" w:lineRule="exact"/>
              <w:jc w:val="center"/>
              <w:rPr>
                <w:sz w:val="24"/>
              </w:rPr>
            </w:pPr>
            <w:r>
              <w:rPr>
                <w:sz w:val="24"/>
              </w:rPr>
              <w:t>－</w:t>
            </w:r>
          </w:p>
        </w:tc>
        <w:tc>
          <w:tcPr>
            <w:tcW w:w="1250" w:type="dxa"/>
            <w:vAlign w:val="center"/>
          </w:tcPr>
          <w:p>
            <w:pPr>
              <w:spacing w:line="280" w:lineRule="exact"/>
              <w:jc w:val="center"/>
              <w:rPr>
                <w:sz w:val="24"/>
              </w:rPr>
            </w:pPr>
            <w:r>
              <w:rPr>
                <w:rFonts w:hint="eastAsia" w:ascii="仿宋_GB2312"/>
                <w:sz w:val="24"/>
              </w:rPr>
              <w:t>≥</w:t>
            </w:r>
            <w:r>
              <w:rPr>
                <w:sz w:val="24"/>
              </w:rPr>
              <w:t>90</w:t>
            </w:r>
          </w:p>
        </w:tc>
        <w:tc>
          <w:tcPr>
            <w:tcW w:w="1243" w:type="dxa"/>
            <w:vAlign w:val="center"/>
          </w:tcPr>
          <w:p>
            <w:pPr>
              <w:spacing w:line="280" w:lineRule="exact"/>
              <w:jc w:val="center"/>
              <w:rPr>
                <w:sz w:val="24"/>
              </w:rPr>
            </w:pPr>
            <w:r>
              <w:rPr>
                <w:sz w:val="24"/>
              </w:rPr>
              <w:t>97.76</w:t>
            </w:r>
          </w:p>
        </w:tc>
        <w:tc>
          <w:tcPr>
            <w:tcW w:w="1183" w:type="dxa"/>
            <w:vAlign w:val="center"/>
          </w:tcPr>
          <w:p>
            <w:pPr>
              <w:spacing w:line="280" w:lineRule="exact"/>
              <w:jc w:val="center"/>
              <w:rPr>
                <w:sz w:val="24"/>
              </w:rPr>
            </w:pPr>
            <w:r>
              <w:rPr>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28</w:t>
            </w:r>
          </w:p>
        </w:tc>
        <w:tc>
          <w:tcPr>
            <w:tcW w:w="6158" w:type="dxa"/>
            <w:vAlign w:val="center"/>
          </w:tcPr>
          <w:p>
            <w:pPr>
              <w:spacing w:line="280" w:lineRule="exact"/>
              <w:rPr>
                <w:sz w:val="24"/>
              </w:rPr>
            </w:pPr>
            <w:r>
              <w:rPr>
                <w:sz w:val="24"/>
              </w:rPr>
              <w:t>农村生活污水有效治理建制村覆盖</w:t>
            </w:r>
            <w:r>
              <w:rPr>
                <w:rFonts w:hint="eastAsia"/>
                <w:sz w:val="24"/>
              </w:rPr>
              <w:t>率</w:t>
            </w:r>
            <w:r>
              <w:rPr>
                <w:sz w:val="24"/>
              </w:rPr>
              <w:t>（%）</w:t>
            </w:r>
          </w:p>
        </w:tc>
        <w:tc>
          <w:tcPr>
            <w:tcW w:w="1173" w:type="dxa"/>
            <w:vAlign w:val="center"/>
          </w:tcPr>
          <w:p>
            <w:pPr>
              <w:spacing w:line="280" w:lineRule="exact"/>
              <w:jc w:val="center"/>
              <w:rPr>
                <w:sz w:val="24"/>
              </w:rPr>
            </w:pPr>
            <w:r>
              <w:rPr>
                <w:sz w:val="24"/>
              </w:rPr>
              <w:t>79.79</w:t>
            </w:r>
          </w:p>
        </w:tc>
        <w:tc>
          <w:tcPr>
            <w:tcW w:w="1250" w:type="dxa"/>
            <w:vAlign w:val="center"/>
          </w:tcPr>
          <w:p>
            <w:pPr>
              <w:spacing w:line="280" w:lineRule="exact"/>
              <w:jc w:val="center"/>
              <w:rPr>
                <w:sz w:val="24"/>
              </w:rPr>
            </w:pPr>
            <w:r>
              <w:rPr>
                <w:sz w:val="24"/>
              </w:rPr>
              <w:t>100</w:t>
            </w:r>
          </w:p>
        </w:tc>
        <w:tc>
          <w:tcPr>
            <w:tcW w:w="1243" w:type="dxa"/>
            <w:vAlign w:val="center"/>
          </w:tcPr>
          <w:p>
            <w:pPr>
              <w:spacing w:line="280" w:lineRule="exact"/>
              <w:jc w:val="center"/>
              <w:rPr>
                <w:sz w:val="24"/>
              </w:rPr>
            </w:pPr>
            <w:r>
              <w:rPr>
                <w:sz w:val="24"/>
              </w:rPr>
              <w:t>100</w:t>
            </w:r>
          </w:p>
        </w:tc>
        <w:tc>
          <w:tcPr>
            <w:tcW w:w="1183" w:type="dxa"/>
            <w:vAlign w:val="center"/>
          </w:tcPr>
          <w:p>
            <w:pPr>
              <w:spacing w:line="280" w:lineRule="exact"/>
              <w:jc w:val="center"/>
              <w:rPr>
                <w:sz w:val="24"/>
              </w:rPr>
            </w:pPr>
            <w:r>
              <w:rPr>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restart"/>
            <w:vAlign w:val="center"/>
          </w:tcPr>
          <w:p>
            <w:pPr>
              <w:spacing w:line="280" w:lineRule="exact"/>
              <w:jc w:val="center"/>
              <w:rPr>
                <w:sz w:val="24"/>
              </w:rPr>
            </w:pPr>
            <w:r>
              <w:rPr>
                <w:sz w:val="24"/>
              </w:rPr>
              <w:t>公共安全性服务</w:t>
            </w:r>
          </w:p>
        </w:tc>
        <w:tc>
          <w:tcPr>
            <w:tcW w:w="831" w:type="dxa"/>
            <w:vAlign w:val="center"/>
          </w:tcPr>
          <w:p>
            <w:pPr>
              <w:spacing w:line="280" w:lineRule="exact"/>
              <w:jc w:val="center"/>
              <w:rPr>
                <w:sz w:val="24"/>
              </w:rPr>
            </w:pPr>
            <w:r>
              <w:rPr>
                <w:sz w:val="24"/>
              </w:rPr>
              <w:t>29</w:t>
            </w:r>
          </w:p>
        </w:tc>
        <w:tc>
          <w:tcPr>
            <w:tcW w:w="6158" w:type="dxa"/>
            <w:vAlign w:val="center"/>
          </w:tcPr>
          <w:p>
            <w:pPr>
              <w:spacing w:line="280" w:lineRule="exact"/>
              <w:rPr>
                <w:sz w:val="24"/>
              </w:rPr>
            </w:pPr>
            <w:r>
              <w:rPr>
                <w:sz w:val="24"/>
              </w:rPr>
              <w:t>主要食品检验合格率（%）</w:t>
            </w:r>
          </w:p>
        </w:tc>
        <w:tc>
          <w:tcPr>
            <w:tcW w:w="1173" w:type="dxa"/>
            <w:vAlign w:val="center"/>
          </w:tcPr>
          <w:p>
            <w:pPr>
              <w:spacing w:line="280" w:lineRule="exact"/>
              <w:jc w:val="center"/>
              <w:rPr>
                <w:sz w:val="24"/>
              </w:rPr>
            </w:pPr>
            <w:r>
              <w:rPr>
                <w:sz w:val="24"/>
              </w:rPr>
              <w:t>95.5</w:t>
            </w:r>
          </w:p>
        </w:tc>
        <w:tc>
          <w:tcPr>
            <w:tcW w:w="1250" w:type="dxa"/>
            <w:vAlign w:val="center"/>
          </w:tcPr>
          <w:p>
            <w:pPr>
              <w:spacing w:line="280" w:lineRule="exact"/>
              <w:jc w:val="center"/>
              <w:rPr>
                <w:sz w:val="24"/>
              </w:rPr>
            </w:pPr>
            <w:r>
              <w:rPr>
                <w:rFonts w:hint="eastAsia" w:ascii="仿宋_GB2312"/>
                <w:sz w:val="24"/>
              </w:rPr>
              <w:t>≥</w:t>
            </w:r>
            <w:r>
              <w:rPr>
                <w:sz w:val="24"/>
              </w:rPr>
              <w:t>96</w:t>
            </w:r>
          </w:p>
        </w:tc>
        <w:tc>
          <w:tcPr>
            <w:tcW w:w="1243" w:type="dxa"/>
            <w:vAlign w:val="center"/>
          </w:tcPr>
          <w:p>
            <w:pPr>
              <w:spacing w:line="280" w:lineRule="exact"/>
              <w:jc w:val="center"/>
              <w:rPr>
                <w:sz w:val="24"/>
              </w:rPr>
            </w:pPr>
            <w:r>
              <w:rPr>
                <w:sz w:val="24"/>
              </w:rPr>
              <w:t>97.9</w:t>
            </w:r>
          </w:p>
        </w:tc>
        <w:tc>
          <w:tcPr>
            <w:tcW w:w="1183" w:type="dxa"/>
            <w:vAlign w:val="center"/>
          </w:tcPr>
          <w:p>
            <w:pPr>
              <w:spacing w:line="280" w:lineRule="exact"/>
              <w:jc w:val="center"/>
              <w:rPr>
                <w:sz w:val="24"/>
              </w:rPr>
            </w:pPr>
            <w:r>
              <w:rPr>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30</w:t>
            </w:r>
          </w:p>
        </w:tc>
        <w:tc>
          <w:tcPr>
            <w:tcW w:w="6158" w:type="dxa"/>
            <w:vAlign w:val="center"/>
          </w:tcPr>
          <w:p>
            <w:pPr>
              <w:spacing w:line="280" w:lineRule="exact"/>
              <w:rPr>
                <w:sz w:val="24"/>
              </w:rPr>
            </w:pPr>
            <w:r>
              <w:rPr>
                <w:sz w:val="24"/>
              </w:rPr>
              <w:t>主要药品检验合格率（%）</w:t>
            </w:r>
          </w:p>
        </w:tc>
        <w:tc>
          <w:tcPr>
            <w:tcW w:w="1173" w:type="dxa"/>
            <w:vAlign w:val="center"/>
          </w:tcPr>
          <w:p>
            <w:pPr>
              <w:spacing w:line="280" w:lineRule="exact"/>
              <w:jc w:val="center"/>
              <w:rPr>
                <w:sz w:val="24"/>
              </w:rPr>
            </w:pPr>
            <w:r>
              <w:rPr>
                <w:sz w:val="24"/>
              </w:rPr>
              <w:t>97</w:t>
            </w:r>
          </w:p>
        </w:tc>
        <w:tc>
          <w:tcPr>
            <w:tcW w:w="1250" w:type="dxa"/>
            <w:vAlign w:val="center"/>
          </w:tcPr>
          <w:p>
            <w:pPr>
              <w:spacing w:line="280" w:lineRule="exact"/>
              <w:jc w:val="center"/>
              <w:rPr>
                <w:sz w:val="24"/>
              </w:rPr>
            </w:pPr>
            <w:r>
              <w:rPr>
                <w:rFonts w:hint="eastAsia" w:ascii="仿宋_GB2312"/>
                <w:sz w:val="24"/>
              </w:rPr>
              <w:t>≥</w:t>
            </w:r>
            <w:r>
              <w:rPr>
                <w:sz w:val="24"/>
              </w:rPr>
              <w:t>98</w:t>
            </w:r>
          </w:p>
        </w:tc>
        <w:tc>
          <w:tcPr>
            <w:tcW w:w="1243" w:type="dxa"/>
            <w:vAlign w:val="center"/>
          </w:tcPr>
          <w:p>
            <w:pPr>
              <w:spacing w:line="280" w:lineRule="exact"/>
              <w:jc w:val="center"/>
              <w:rPr>
                <w:sz w:val="24"/>
              </w:rPr>
            </w:pPr>
            <w:r>
              <w:rPr>
                <w:sz w:val="24"/>
              </w:rPr>
              <w:t>100</w:t>
            </w:r>
          </w:p>
        </w:tc>
        <w:tc>
          <w:tcPr>
            <w:tcW w:w="1183" w:type="dxa"/>
            <w:vAlign w:val="center"/>
          </w:tcPr>
          <w:p>
            <w:pPr>
              <w:spacing w:line="280" w:lineRule="exact"/>
              <w:jc w:val="center"/>
              <w:rPr>
                <w:sz w:val="24"/>
              </w:rPr>
            </w:pPr>
            <w:r>
              <w:rPr>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31</w:t>
            </w:r>
          </w:p>
        </w:tc>
        <w:tc>
          <w:tcPr>
            <w:tcW w:w="6158" w:type="dxa"/>
            <w:vAlign w:val="center"/>
          </w:tcPr>
          <w:p>
            <w:pPr>
              <w:spacing w:line="280" w:lineRule="exact"/>
              <w:rPr>
                <w:sz w:val="24"/>
              </w:rPr>
            </w:pPr>
            <w:r>
              <w:rPr>
                <w:sz w:val="24"/>
              </w:rPr>
              <w:t>公众食品安全满意度</w:t>
            </w:r>
          </w:p>
        </w:tc>
        <w:tc>
          <w:tcPr>
            <w:tcW w:w="1173" w:type="dxa"/>
            <w:vAlign w:val="center"/>
          </w:tcPr>
          <w:p>
            <w:pPr>
              <w:spacing w:line="280" w:lineRule="exact"/>
              <w:jc w:val="center"/>
              <w:rPr>
                <w:sz w:val="24"/>
              </w:rPr>
            </w:pPr>
            <w:r>
              <w:rPr>
                <w:sz w:val="24"/>
              </w:rPr>
              <w:t>70.08</w:t>
            </w:r>
          </w:p>
        </w:tc>
        <w:tc>
          <w:tcPr>
            <w:tcW w:w="1250" w:type="dxa"/>
            <w:vAlign w:val="center"/>
          </w:tcPr>
          <w:p>
            <w:pPr>
              <w:spacing w:line="280" w:lineRule="exact"/>
              <w:jc w:val="center"/>
              <w:rPr>
                <w:sz w:val="24"/>
              </w:rPr>
            </w:pPr>
            <w:r>
              <w:rPr>
                <w:rFonts w:hint="eastAsia" w:ascii="仿宋_GB2312"/>
                <w:sz w:val="24"/>
              </w:rPr>
              <w:t>≥</w:t>
            </w:r>
            <w:r>
              <w:rPr>
                <w:sz w:val="24"/>
              </w:rPr>
              <w:t>80</w:t>
            </w:r>
          </w:p>
        </w:tc>
        <w:tc>
          <w:tcPr>
            <w:tcW w:w="1243" w:type="dxa"/>
            <w:vAlign w:val="center"/>
          </w:tcPr>
          <w:p>
            <w:pPr>
              <w:spacing w:line="280" w:lineRule="exact"/>
              <w:jc w:val="center"/>
              <w:rPr>
                <w:sz w:val="24"/>
              </w:rPr>
            </w:pPr>
            <w:r>
              <w:rPr>
                <w:sz w:val="24"/>
              </w:rPr>
              <w:t>87.46</w:t>
            </w:r>
          </w:p>
        </w:tc>
        <w:tc>
          <w:tcPr>
            <w:tcW w:w="1183" w:type="dxa"/>
            <w:vAlign w:val="center"/>
          </w:tcPr>
          <w:p>
            <w:pPr>
              <w:spacing w:line="280" w:lineRule="exact"/>
              <w:jc w:val="center"/>
              <w:rPr>
                <w:sz w:val="24"/>
              </w:rPr>
            </w:pPr>
            <w:r>
              <w:rPr>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32</w:t>
            </w:r>
          </w:p>
        </w:tc>
        <w:tc>
          <w:tcPr>
            <w:tcW w:w="6158" w:type="dxa"/>
            <w:vAlign w:val="center"/>
          </w:tcPr>
          <w:p>
            <w:pPr>
              <w:spacing w:line="280" w:lineRule="exact"/>
              <w:rPr>
                <w:sz w:val="24"/>
              </w:rPr>
            </w:pPr>
            <w:r>
              <w:rPr>
                <w:sz w:val="24"/>
              </w:rPr>
              <w:t>公众药品安全满意度</w:t>
            </w:r>
          </w:p>
        </w:tc>
        <w:tc>
          <w:tcPr>
            <w:tcW w:w="1173" w:type="dxa"/>
            <w:vAlign w:val="center"/>
          </w:tcPr>
          <w:p>
            <w:pPr>
              <w:spacing w:line="280" w:lineRule="exact"/>
              <w:jc w:val="center"/>
              <w:rPr>
                <w:sz w:val="24"/>
              </w:rPr>
            </w:pPr>
            <w:r>
              <w:rPr>
                <w:sz w:val="24"/>
              </w:rPr>
              <w:t>70.08</w:t>
            </w:r>
          </w:p>
        </w:tc>
        <w:tc>
          <w:tcPr>
            <w:tcW w:w="1250" w:type="dxa"/>
            <w:vAlign w:val="center"/>
          </w:tcPr>
          <w:p>
            <w:pPr>
              <w:spacing w:line="280" w:lineRule="exact"/>
              <w:jc w:val="center"/>
              <w:rPr>
                <w:sz w:val="24"/>
              </w:rPr>
            </w:pPr>
            <w:r>
              <w:rPr>
                <w:rFonts w:hint="eastAsia" w:ascii="仿宋_GB2312"/>
                <w:sz w:val="24"/>
              </w:rPr>
              <w:t>≥</w:t>
            </w:r>
            <w:r>
              <w:rPr>
                <w:sz w:val="24"/>
              </w:rPr>
              <w:t>85</w:t>
            </w:r>
          </w:p>
        </w:tc>
        <w:tc>
          <w:tcPr>
            <w:tcW w:w="1243" w:type="dxa"/>
            <w:vAlign w:val="center"/>
          </w:tcPr>
          <w:p>
            <w:pPr>
              <w:spacing w:line="280" w:lineRule="exact"/>
              <w:jc w:val="center"/>
              <w:rPr>
                <w:sz w:val="24"/>
              </w:rPr>
            </w:pPr>
            <w:r>
              <w:rPr>
                <w:sz w:val="24"/>
              </w:rPr>
              <w:t>85</w:t>
            </w:r>
          </w:p>
        </w:tc>
        <w:tc>
          <w:tcPr>
            <w:tcW w:w="1183" w:type="dxa"/>
            <w:vAlign w:val="center"/>
          </w:tcPr>
          <w:p>
            <w:pPr>
              <w:spacing w:line="280" w:lineRule="exact"/>
              <w:jc w:val="center"/>
              <w:rPr>
                <w:sz w:val="24"/>
              </w:rPr>
            </w:pPr>
            <w:r>
              <w:rPr>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9" w:type="dxa"/>
            <w:vMerge w:val="continue"/>
            <w:vAlign w:val="center"/>
          </w:tcPr>
          <w:p>
            <w:pPr>
              <w:spacing w:line="280" w:lineRule="exact"/>
              <w:jc w:val="center"/>
              <w:rPr>
                <w:sz w:val="24"/>
              </w:rPr>
            </w:pPr>
          </w:p>
        </w:tc>
        <w:tc>
          <w:tcPr>
            <w:tcW w:w="831" w:type="dxa"/>
            <w:vAlign w:val="center"/>
          </w:tcPr>
          <w:p>
            <w:pPr>
              <w:spacing w:line="280" w:lineRule="exact"/>
              <w:jc w:val="center"/>
              <w:rPr>
                <w:sz w:val="24"/>
              </w:rPr>
            </w:pPr>
            <w:r>
              <w:rPr>
                <w:sz w:val="24"/>
              </w:rPr>
              <w:t>33</w:t>
            </w:r>
          </w:p>
        </w:tc>
        <w:tc>
          <w:tcPr>
            <w:tcW w:w="6158" w:type="dxa"/>
            <w:vAlign w:val="center"/>
          </w:tcPr>
          <w:p>
            <w:pPr>
              <w:spacing w:line="280" w:lineRule="exact"/>
              <w:rPr>
                <w:sz w:val="24"/>
              </w:rPr>
            </w:pPr>
            <w:r>
              <w:rPr>
                <w:sz w:val="24"/>
              </w:rPr>
              <w:t>亿元GDP生产安全事故死亡率（人/亿元）</w:t>
            </w:r>
          </w:p>
        </w:tc>
        <w:tc>
          <w:tcPr>
            <w:tcW w:w="1173" w:type="dxa"/>
            <w:vAlign w:val="center"/>
          </w:tcPr>
          <w:p>
            <w:pPr>
              <w:spacing w:line="280" w:lineRule="exact"/>
              <w:jc w:val="center"/>
              <w:rPr>
                <w:sz w:val="24"/>
              </w:rPr>
            </w:pPr>
            <w:r>
              <w:rPr>
                <w:sz w:val="24"/>
              </w:rPr>
              <w:t>0.13</w:t>
            </w:r>
          </w:p>
        </w:tc>
        <w:tc>
          <w:tcPr>
            <w:tcW w:w="1250" w:type="dxa"/>
            <w:vAlign w:val="center"/>
          </w:tcPr>
          <w:p>
            <w:pPr>
              <w:spacing w:line="280" w:lineRule="exact"/>
              <w:jc w:val="center"/>
              <w:rPr>
                <w:sz w:val="24"/>
              </w:rPr>
            </w:pPr>
            <w:r>
              <w:rPr>
                <w:rFonts w:hint="eastAsia" w:ascii="仿宋_GB2312"/>
                <w:sz w:val="24"/>
              </w:rPr>
              <w:t>≤</w:t>
            </w:r>
            <w:r>
              <w:rPr>
                <w:sz w:val="24"/>
              </w:rPr>
              <w:t>0.11</w:t>
            </w:r>
          </w:p>
        </w:tc>
        <w:tc>
          <w:tcPr>
            <w:tcW w:w="1243" w:type="dxa"/>
            <w:vAlign w:val="center"/>
          </w:tcPr>
          <w:p>
            <w:pPr>
              <w:spacing w:line="280" w:lineRule="exact"/>
              <w:jc w:val="center"/>
              <w:rPr>
                <w:sz w:val="24"/>
              </w:rPr>
            </w:pPr>
            <w:r>
              <w:rPr>
                <w:sz w:val="24"/>
              </w:rPr>
              <w:t>0.021</w:t>
            </w:r>
          </w:p>
        </w:tc>
        <w:tc>
          <w:tcPr>
            <w:tcW w:w="1183" w:type="dxa"/>
            <w:vAlign w:val="center"/>
          </w:tcPr>
          <w:p>
            <w:pPr>
              <w:spacing w:line="280" w:lineRule="exact"/>
              <w:jc w:val="center"/>
              <w:rPr>
                <w:sz w:val="24"/>
              </w:rPr>
            </w:pPr>
            <w:r>
              <w:rPr>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13057" w:type="dxa"/>
            <w:gridSpan w:val="7"/>
            <w:vAlign w:val="center"/>
          </w:tcPr>
          <w:p>
            <w:pPr>
              <w:spacing w:line="280" w:lineRule="exact"/>
              <w:rPr>
                <w:sz w:val="24"/>
              </w:rPr>
            </w:pPr>
            <w:r>
              <w:rPr>
                <w:sz w:val="24"/>
              </w:rPr>
              <w:t>注：（1）由于受新冠肺炎</w:t>
            </w:r>
            <w:r>
              <w:rPr>
                <w:rFonts w:hint="eastAsia" w:ascii="仿宋_GB2312"/>
                <w:sz w:val="24"/>
              </w:rPr>
              <w:t>疫情影响，“</w:t>
            </w:r>
            <w:r>
              <w:rPr>
                <w:rFonts w:hint="eastAsia" w:ascii="仿宋_GB2312" w:hAnsi="仿宋_GB2312"/>
                <w:sz w:val="24"/>
              </w:rPr>
              <w:t>人均年观看文博展览、文艺表演（场次）</w:t>
            </w:r>
            <w:r>
              <w:rPr>
                <w:rFonts w:hint="eastAsia" w:ascii="仿宋_GB2312"/>
                <w:sz w:val="24"/>
              </w:rPr>
              <w:t>”指</w:t>
            </w:r>
            <w:r>
              <w:rPr>
                <w:sz w:val="24"/>
              </w:rPr>
              <w:t>标2020年完成情况数据为1.07，统计范围为线下人均年观看文博展览、文艺表演场次，线上观看场次数据不纳入指标统计范围。该指标2016</w:t>
            </w:r>
            <w:r>
              <w:rPr>
                <w:rFonts w:hint="eastAsia" w:ascii="仿宋_GB2312"/>
                <w:sz w:val="24"/>
              </w:rPr>
              <w:t>-</w:t>
            </w:r>
            <w:r>
              <w:rPr>
                <w:sz w:val="24"/>
              </w:rPr>
              <w:t>2019年完成情况分别为：2016年10.52场次；2017年12.10场次；2018年12.71场次；2019年8.79场次。</w:t>
            </w:r>
          </w:p>
          <w:p>
            <w:pPr>
              <w:spacing w:line="280" w:lineRule="exact"/>
              <w:ind w:firstLine="360" w:firstLineChars="150"/>
              <w:rPr>
                <w:sz w:val="24"/>
              </w:rPr>
            </w:pPr>
            <w:r>
              <w:rPr>
                <w:sz w:val="24"/>
              </w:rPr>
              <w:t>（2）{  }内数据为5年累计数。</w:t>
            </w:r>
          </w:p>
        </w:tc>
      </w:tr>
    </w:tbl>
    <w:p>
      <w:pPr>
        <w:spacing w:line="240" w:lineRule="exact"/>
        <w:ind w:left="1640" w:leftChars="100" w:hanging="1320" w:hangingChars="300"/>
        <w:jc w:val="left"/>
        <w:rPr>
          <w:rFonts w:ascii="方正小标宋简体" w:eastAsia="方正小标宋简体"/>
          <w:sz w:val="44"/>
          <w:szCs w:val="44"/>
        </w:rPr>
        <w:sectPr>
          <w:pgSz w:w="16840" w:h="11907" w:orient="landscape"/>
          <w:pgMar w:top="1588" w:right="1871" w:bottom="1474" w:left="1758" w:header="851" w:footer="1134" w:gutter="0"/>
          <w:cols w:space="720" w:num="1"/>
          <w:docGrid w:type="lines" w:linePitch="600" w:charSpace="-842"/>
        </w:sectPr>
      </w:pPr>
    </w:p>
    <w:p>
      <w:pPr>
        <w:spacing w:line="600" w:lineRule="exact"/>
        <w:ind w:firstLine="632" w:firstLineChars="200"/>
        <w:rPr>
          <w:szCs w:val="32"/>
        </w:rPr>
      </w:pPr>
      <w:r>
        <w:rPr>
          <w:szCs w:val="32"/>
        </w:rPr>
        <w:t>与此同时，公共服务体系建设还存在一些问题和短板，主要表现在：一是基本公共服务供给总量不足。社会事业发展一直滞后于经济发展，设施建设、运营管理、人员队伍等仍然滞后，入园、入学、就医、养老等领域的供需矛盾依然突出。二是基本公共服务配置不均衡。基本公共产品供给数量和质量在城乡之间、区域之间、群体之间仍存在较大差异，资源配置不尽合理，与公共服务均等化要求仍有一定距离。三是非基本公共服务弱项明显。社会服务产业链条没有得到很好的拓展，多层次、多元化、高品质的中高端服务尚未形成</w:t>
      </w:r>
      <w:r>
        <w:rPr>
          <w:rFonts w:hint="eastAsia"/>
          <w:szCs w:val="32"/>
        </w:rPr>
        <w:t>，</w:t>
      </w:r>
      <w:r>
        <w:rPr>
          <w:szCs w:val="32"/>
        </w:rPr>
        <w:t>与群众期待还有不小差距。</w:t>
      </w:r>
      <w:r>
        <w:rPr>
          <w:bCs/>
          <w:kern w:val="0"/>
          <w:szCs w:val="32"/>
        </w:rPr>
        <w:t>四是公共服务体制改革任重道远。</w:t>
      </w:r>
      <w:r>
        <w:rPr>
          <w:kern w:val="0"/>
          <w:szCs w:val="32"/>
        </w:rPr>
        <w:t>跨区域的公共服务便利共享有待进一步打通；社会参与渠道仍需拓展，国有企业、社会资本等力量还没有充分调动；公共服务数字化</w:t>
      </w:r>
      <w:r>
        <w:rPr>
          <w:rFonts w:hint="eastAsia"/>
          <w:kern w:val="0"/>
          <w:szCs w:val="32"/>
        </w:rPr>
        <w:t>、精细化管理</w:t>
      </w:r>
      <w:r>
        <w:rPr>
          <w:kern w:val="0"/>
          <w:szCs w:val="32"/>
        </w:rPr>
        <w:t>水平还有待提高。</w:t>
      </w:r>
    </w:p>
    <w:p>
      <w:pPr>
        <w:spacing w:line="600" w:lineRule="exact"/>
        <w:ind w:firstLine="632" w:firstLineChars="200"/>
        <w:outlineLvl w:val="1"/>
        <w:rPr>
          <w:rFonts w:ascii="楷体_GB2312" w:hAnsi="楷体_GB2312" w:eastAsia="楷体_GB2312" w:cs="楷体_GB2312"/>
          <w:szCs w:val="32"/>
        </w:rPr>
      </w:pPr>
      <w:r>
        <w:rPr>
          <w:rFonts w:hint="eastAsia" w:ascii="楷体_GB2312" w:hAnsi="楷体_GB2312" w:eastAsia="楷体_GB2312" w:cs="楷体_GB2312"/>
          <w:szCs w:val="32"/>
        </w:rPr>
        <w:t>（二）面临形势。</w:t>
      </w:r>
    </w:p>
    <w:p>
      <w:pPr>
        <w:spacing w:line="600" w:lineRule="exact"/>
        <w:ind w:firstLine="632" w:firstLineChars="200"/>
        <w:rPr>
          <w:szCs w:val="32"/>
        </w:rPr>
      </w:pPr>
      <w:r>
        <w:rPr>
          <w:rFonts w:hint="eastAsia" w:ascii="仿宋_GB2312"/>
          <w:szCs w:val="32"/>
        </w:rPr>
        <w:t>“十四五”时期是我市争创社会主义现代化先行市的起步期，也是加快提升公共服务水平的关键期。统筹推进全市公共服务体系建设，面临新的</w:t>
      </w:r>
      <w:r>
        <w:rPr>
          <w:szCs w:val="32"/>
        </w:rPr>
        <w:t>机遇和挑战。</w:t>
      </w:r>
    </w:p>
    <w:p>
      <w:pPr>
        <w:spacing w:line="600" w:lineRule="exact"/>
        <w:ind w:firstLine="632" w:firstLineChars="200"/>
        <w:rPr>
          <w:szCs w:val="32"/>
        </w:rPr>
      </w:pPr>
      <w:r>
        <w:rPr>
          <w:rFonts w:hint="eastAsia"/>
          <w:szCs w:val="32"/>
        </w:rPr>
        <w:t>共同富裕提出新要求。2021年</w:t>
      </w:r>
      <w:r>
        <w:rPr>
          <w:szCs w:val="32"/>
        </w:rPr>
        <w:t>6月，</w:t>
      </w:r>
      <w:r>
        <w:rPr>
          <w:rFonts w:hint="eastAsia"/>
          <w:szCs w:val="32"/>
        </w:rPr>
        <w:t>中共中央、国务院出台《</w:t>
      </w:r>
      <w:r>
        <w:rPr>
          <w:szCs w:val="32"/>
        </w:rPr>
        <w:t>关于支持浙江高质量发展建设共同富裕示范区的意见》</w:t>
      </w:r>
      <w:r>
        <w:rPr>
          <w:rFonts w:hint="eastAsia"/>
          <w:szCs w:val="32"/>
        </w:rPr>
        <w:t>。扎实推动共同富裕，必须在经济高质量发展中保障和改善民生，确保让发展成果更多更公平地惠及全体人民，这对</w:t>
      </w:r>
      <w:r>
        <w:rPr>
          <w:szCs w:val="32"/>
        </w:rPr>
        <w:t>建立与</w:t>
      </w:r>
      <w:r>
        <w:rPr>
          <w:rFonts w:hint="eastAsia"/>
          <w:szCs w:val="32"/>
        </w:rPr>
        <w:t>共同富裕先行市相适应的</w:t>
      </w:r>
      <w:r>
        <w:rPr>
          <w:szCs w:val="32"/>
        </w:rPr>
        <w:t>公共服务体系，推进公共服务向更高水平、更高层次迈进</w:t>
      </w:r>
      <w:r>
        <w:rPr>
          <w:rFonts w:hint="eastAsia"/>
          <w:szCs w:val="32"/>
        </w:rPr>
        <w:t>提</w:t>
      </w:r>
      <w:r>
        <w:rPr>
          <w:szCs w:val="32"/>
        </w:rPr>
        <w:t>出了新要求。</w:t>
      </w:r>
    </w:p>
    <w:p>
      <w:pPr>
        <w:spacing w:line="600" w:lineRule="exact"/>
        <w:ind w:firstLine="632" w:firstLineChars="200"/>
        <w:rPr>
          <w:rFonts w:ascii="仿宋_GB2312" w:hAnsi="宋体" w:cs="宋体"/>
          <w:kern w:val="0"/>
          <w:szCs w:val="32"/>
        </w:rPr>
      </w:pPr>
      <w:r>
        <w:rPr>
          <w:szCs w:val="32"/>
        </w:rPr>
        <w:t>社会发展进入</w:t>
      </w:r>
      <w:r>
        <w:rPr>
          <w:rFonts w:hint="eastAsia" w:ascii="仿宋_GB2312"/>
          <w:szCs w:val="32"/>
        </w:rPr>
        <w:t>新阶段。</w:t>
      </w:r>
      <w:r>
        <w:rPr>
          <w:rFonts w:hint="eastAsia" w:ascii="仿宋_GB2312"/>
          <w:bCs/>
          <w:szCs w:val="32"/>
        </w:rPr>
        <w:t>“十四五”期间，随着我市</w:t>
      </w:r>
      <w:r>
        <w:rPr>
          <w:rFonts w:hint="eastAsia" w:ascii="仿宋_GB2312"/>
          <w:szCs w:val="32"/>
        </w:rPr>
        <w:t>经济社会发展和收入水平的提高，</w:t>
      </w:r>
      <w:r>
        <w:rPr>
          <w:rFonts w:hint="eastAsia" w:ascii="仿宋_GB2312" w:hAnsi="宋体" w:cs="宋体"/>
          <w:kern w:val="0"/>
          <w:szCs w:val="32"/>
        </w:rPr>
        <w:t>人民群众更加追求品质化、多样化生活，</w:t>
      </w:r>
      <w:r>
        <w:rPr>
          <w:rFonts w:hint="eastAsia" w:ascii="仿宋_GB2312"/>
          <w:szCs w:val="32"/>
        </w:rPr>
        <w:t>对教育、就业、社会保障、医疗卫生、文化体育等公共服务需求日趋旺盛，对公共服务质量效率、便利性、均等化要求和预期日益提高。</w:t>
      </w:r>
    </w:p>
    <w:p>
      <w:pPr>
        <w:spacing w:line="600" w:lineRule="exact"/>
        <w:ind w:firstLine="632" w:firstLineChars="200"/>
        <w:rPr>
          <w:rFonts w:ascii="仿宋_GB2312"/>
          <w:szCs w:val="32"/>
        </w:rPr>
      </w:pPr>
      <w:r>
        <w:rPr>
          <w:rFonts w:hint="eastAsia" w:ascii="仿宋_GB2312"/>
          <w:szCs w:val="32"/>
        </w:rPr>
        <w:t>人口结构发生新变化。“十四五”期间，随着三胎政策等实施，我市常住人口仍将稳步增长，预</w:t>
      </w:r>
      <w:r>
        <w:rPr>
          <w:szCs w:val="32"/>
        </w:rPr>
        <w:t>计到2033年左右将会达到人口峰值</w:t>
      </w:r>
      <w:r>
        <w:rPr>
          <w:rFonts w:hint="eastAsia"/>
          <w:szCs w:val="32"/>
        </w:rPr>
        <w:t>。</w:t>
      </w:r>
      <w:r>
        <w:rPr>
          <w:szCs w:val="32"/>
        </w:rPr>
        <w:t>与此同时，人口老龄化程度将不断加深，预计</w:t>
      </w:r>
      <w:r>
        <w:rPr>
          <w:rFonts w:hint="eastAsia"/>
          <w:szCs w:val="32"/>
        </w:rPr>
        <w:t>到</w:t>
      </w:r>
      <w:r>
        <w:rPr>
          <w:szCs w:val="32"/>
        </w:rPr>
        <w:t>2025年65岁以上老年人口占比达到17%，</w:t>
      </w:r>
      <w:r>
        <w:rPr>
          <w:rFonts w:hint="eastAsia"/>
          <w:szCs w:val="32"/>
        </w:rPr>
        <w:t>到</w:t>
      </w:r>
      <w:r>
        <w:rPr>
          <w:szCs w:val="32"/>
        </w:rPr>
        <w:t>2030年左右超过20%</w:t>
      </w:r>
      <w:r>
        <w:rPr>
          <w:rFonts w:hint="eastAsia"/>
          <w:szCs w:val="32"/>
        </w:rPr>
        <w:t>，</w:t>
      </w:r>
      <w:r>
        <w:rPr>
          <w:szCs w:val="32"/>
        </w:rPr>
        <w:t>人口总抚养比将进一步上升</w:t>
      </w:r>
      <w:r>
        <w:rPr>
          <w:rFonts w:hint="eastAsia"/>
          <w:szCs w:val="32"/>
        </w:rPr>
        <w:t>。人口结构的变化</w:t>
      </w:r>
      <w:r>
        <w:rPr>
          <w:szCs w:val="32"/>
        </w:rPr>
        <w:t>对托幼、教育、就业、医疗、养</w:t>
      </w:r>
      <w:r>
        <w:rPr>
          <w:rFonts w:hint="eastAsia" w:ascii="仿宋_GB2312"/>
          <w:szCs w:val="32"/>
        </w:rPr>
        <w:t>老等公共服务供给提出更高要求。</w:t>
      </w:r>
    </w:p>
    <w:p>
      <w:pPr>
        <w:spacing w:line="600" w:lineRule="exact"/>
        <w:ind w:firstLine="632" w:firstLineChars="200"/>
        <w:rPr>
          <w:szCs w:val="32"/>
        </w:rPr>
      </w:pPr>
      <w:r>
        <w:rPr>
          <w:rFonts w:hint="eastAsia" w:ascii="仿宋_GB2312"/>
          <w:szCs w:val="32"/>
        </w:rPr>
        <w:t>城乡格局面临新调整。我市“十四五”规划纲要明确提出要建设省域开放型高能级中心城市，引导人</w:t>
      </w:r>
      <w:r>
        <w:rPr>
          <w:szCs w:val="32"/>
        </w:rPr>
        <w:t>口向城区、镇区集聚，基本建成300万以上人口规模、高端资源循环集聚、港产城湾一体发展的区域中心城市。人口在空间上的深刻变化，对公共服务的布局结构调整提出了新要求。</w:t>
      </w:r>
    </w:p>
    <w:p>
      <w:pPr>
        <w:spacing w:line="600" w:lineRule="exact"/>
        <w:ind w:firstLine="632" w:firstLineChars="200"/>
        <w:rPr>
          <w:szCs w:val="32"/>
        </w:rPr>
      </w:pPr>
      <w:r>
        <w:rPr>
          <w:szCs w:val="32"/>
        </w:rPr>
        <w:t>科技革命助力</w:t>
      </w:r>
      <w:r>
        <w:rPr>
          <w:rFonts w:hint="eastAsia"/>
          <w:szCs w:val="32"/>
        </w:rPr>
        <w:t>公共服务</w:t>
      </w:r>
      <w:r>
        <w:rPr>
          <w:szCs w:val="32"/>
        </w:rPr>
        <w:t>新变革。新一轮科技变革和产业革命如火如荼，移动互联网、物联网、大数据、云计算等信息技术快速发展，推动公共服务供给方式和服务模式不断创新，数字化、个性化、精准化的公共服务需求更加凸显，这对各级政府加快提高公共服务的信息化程度和网络化水平，提高公共服务绩效提出了更高要求。</w:t>
      </w:r>
    </w:p>
    <w:p>
      <w:pPr>
        <w:spacing w:line="600" w:lineRule="exact"/>
        <w:ind w:firstLine="632" w:firstLineChars="200"/>
        <w:outlineLvl w:val="0"/>
        <w:rPr>
          <w:rFonts w:ascii="黑体" w:hAnsi="黑体" w:eastAsia="黑体" w:cs="黑体"/>
          <w:bCs/>
          <w:szCs w:val="32"/>
        </w:rPr>
      </w:pPr>
      <w:r>
        <w:rPr>
          <w:rFonts w:hint="eastAsia" w:ascii="黑体" w:hAnsi="黑体" w:eastAsia="黑体" w:cs="黑体"/>
          <w:bCs/>
          <w:szCs w:val="32"/>
        </w:rPr>
        <w:t>二、总体要求</w:t>
      </w:r>
    </w:p>
    <w:p>
      <w:pPr>
        <w:spacing w:line="600" w:lineRule="exact"/>
        <w:ind w:firstLine="632" w:firstLineChars="200"/>
        <w:outlineLvl w:val="1"/>
        <w:rPr>
          <w:rFonts w:ascii="楷体_GB2312" w:hAnsi="楷体_GB2312" w:eastAsia="楷体_GB2312" w:cs="楷体_GB2312"/>
          <w:szCs w:val="32"/>
        </w:rPr>
      </w:pPr>
      <w:r>
        <w:rPr>
          <w:rFonts w:hint="eastAsia" w:ascii="楷体_GB2312" w:hAnsi="楷体_GB2312" w:eastAsia="楷体_GB2312" w:cs="楷体_GB2312"/>
          <w:szCs w:val="32"/>
        </w:rPr>
        <w:t>（一）指导思想。</w:t>
      </w:r>
    </w:p>
    <w:p>
      <w:pPr>
        <w:spacing w:line="600" w:lineRule="exact"/>
        <w:ind w:firstLine="632" w:firstLineChars="200"/>
        <w:rPr>
          <w:szCs w:val="32"/>
        </w:rPr>
      </w:pPr>
      <w:r>
        <w:rPr>
          <w:szCs w:val="32"/>
        </w:rPr>
        <w:t>高举习近平</w:t>
      </w:r>
      <w:r>
        <w:rPr>
          <w:rFonts w:hint="eastAsia" w:ascii="仿宋_GB2312"/>
          <w:szCs w:val="32"/>
        </w:rPr>
        <w:t>新时代中国特色社会主义思想伟大旗帜，坚持新发展理念，忠实践行“八八战略”，奋力打造“重要窗口”，紧扣共同富裕和人的全面发展，以满足人民对美好生活的向往为导向，</w:t>
      </w:r>
      <w:r>
        <w:rPr>
          <w:rFonts w:hint="eastAsia" w:ascii="仿宋_GB2312"/>
          <w:kern w:val="0"/>
          <w:szCs w:val="32"/>
        </w:rPr>
        <w:t>正确处理基本与非基本、政府与市场、供给与</w:t>
      </w:r>
      <w:bookmarkStart w:id="0" w:name="_GoBack"/>
      <w:bookmarkEnd w:id="0"/>
      <w:r>
        <w:rPr>
          <w:rFonts w:hint="eastAsia" w:ascii="仿宋_GB2312"/>
          <w:kern w:val="0"/>
          <w:szCs w:val="32"/>
        </w:rPr>
        <w:t>需求的关系，秉承均等化、数字化、多元化发展路径，</w:t>
      </w:r>
      <w:r>
        <w:rPr>
          <w:rFonts w:hint="eastAsia" w:ascii="仿宋_GB2312"/>
          <w:szCs w:val="32"/>
        </w:rPr>
        <w:t>聚焦幼有所育、学有所教、劳有所得、病有所医</w:t>
      </w:r>
      <w:r>
        <w:rPr>
          <w:rFonts w:hint="eastAsia"/>
          <w:szCs w:val="32"/>
        </w:rPr>
        <w:t>、娱有所乐、住有所居、老有所养、弱有所扶、安有所保等</w:t>
      </w:r>
      <w:r>
        <w:rPr>
          <w:szCs w:val="32"/>
        </w:rPr>
        <w:t>9大重点领域，全面深化公共服务供给侧结构性改革，</w:t>
      </w:r>
      <w:r>
        <w:rPr>
          <w:kern w:val="0"/>
          <w:szCs w:val="32"/>
        </w:rPr>
        <w:t>大力补齐基本公共服务短板，扩大多层次多样化个性化公共服务供给</w:t>
      </w:r>
      <w:r>
        <w:rPr>
          <w:szCs w:val="32"/>
        </w:rPr>
        <w:t>，</w:t>
      </w:r>
      <w:r>
        <w:rPr>
          <w:kern w:val="0"/>
          <w:szCs w:val="32"/>
        </w:rPr>
        <w:t>构建覆盖全人群、全生命周期的高质量现代化公共服务体系，不断增进全体人民获得感、幸福感、安全感，</w:t>
      </w:r>
      <w:r>
        <w:rPr>
          <w:szCs w:val="32"/>
        </w:rPr>
        <w:t>为</w:t>
      </w:r>
      <w:r>
        <w:rPr>
          <w:rFonts w:hint="eastAsia" w:ascii="仿宋_GB2312"/>
          <w:szCs w:val="32"/>
        </w:rPr>
        <w:t>争创社会主义现代化先行市</w:t>
      </w:r>
      <w:r>
        <w:rPr>
          <w:szCs w:val="32"/>
        </w:rPr>
        <w:t>奠定坚实基础。</w:t>
      </w:r>
    </w:p>
    <w:p>
      <w:pPr>
        <w:spacing w:line="600" w:lineRule="exact"/>
        <w:ind w:firstLine="632" w:firstLineChars="200"/>
        <w:outlineLvl w:val="1"/>
        <w:rPr>
          <w:rFonts w:ascii="楷体_GB2312" w:hAnsi="楷体_GB2312" w:eastAsia="楷体_GB2312" w:cs="楷体_GB2312"/>
          <w:szCs w:val="32"/>
        </w:rPr>
      </w:pPr>
      <w:r>
        <w:rPr>
          <w:rFonts w:hint="eastAsia" w:ascii="楷体_GB2312" w:hAnsi="楷体_GB2312" w:eastAsia="楷体_GB2312" w:cs="楷体_GB2312"/>
          <w:szCs w:val="32"/>
        </w:rPr>
        <w:t>（二）基本原则。</w:t>
      </w:r>
    </w:p>
    <w:p>
      <w:pPr>
        <w:spacing w:line="600" w:lineRule="exact"/>
        <w:ind w:firstLine="632" w:firstLineChars="200"/>
        <w:rPr>
          <w:szCs w:val="32"/>
        </w:rPr>
      </w:pPr>
      <w:r>
        <w:rPr>
          <w:szCs w:val="32"/>
        </w:rPr>
        <w:t>保基本。</w:t>
      </w:r>
      <w:r>
        <w:rPr>
          <w:rFonts w:hint="eastAsia"/>
          <w:szCs w:val="32"/>
        </w:rPr>
        <w:t>突出</w:t>
      </w:r>
      <w:r>
        <w:rPr>
          <w:szCs w:val="32"/>
        </w:rPr>
        <w:t>公共服务兜底属性，筑牢底线思维，充分立足我市实际，坚持尽力而为</w:t>
      </w:r>
      <w:r>
        <w:rPr>
          <w:rFonts w:hint="eastAsia"/>
          <w:szCs w:val="32"/>
        </w:rPr>
        <w:t>、</w:t>
      </w:r>
      <w:r>
        <w:rPr>
          <w:szCs w:val="32"/>
        </w:rPr>
        <w:t>量力而行，</w:t>
      </w:r>
      <w:r>
        <w:rPr>
          <w:kern w:val="0"/>
          <w:szCs w:val="32"/>
        </w:rPr>
        <w:t>优先保障基本公共服务供给，补齐教育、医疗、养老等基本公共服务突出短板，</w:t>
      </w:r>
      <w:r>
        <w:rPr>
          <w:szCs w:val="32"/>
        </w:rPr>
        <w:t>确保人民群众切实享有符合标准的公共服务。</w:t>
      </w:r>
    </w:p>
    <w:p>
      <w:pPr>
        <w:spacing w:line="600" w:lineRule="exact"/>
        <w:ind w:firstLine="632" w:firstLineChars="200"/>
        <w:rPr>
          <w:kern w:val="0"/>
          <w:szCs w:val="32"/>
        </w:rPr>
      </w:pPr>
      <w:r>
        <w:rPr>
          <w:szCs w:val="32"/>
        </w:rPr>
        <w:t>促均等。</w:t>
      </w:r>
      <w:r>
        <w:rPr>
          <w:rFonts w:hint="eastAsia"/>
          <w:szCs w:val="32"/>
        </w:rPr>
        <w:t>突出</w:t>
      </w:r>
      <w:r>
        <w:rPr>
          <w:szCs w:val="32"/>
        </w:rPr>
        <w:t>公共服务均等化的要求，</w:t>
      </w:r>
      <w:r>
        <w:rPr>
          <w:kern w:val="0"/>
          <w:szCs w:val="32"/>
        </w:rPr>
        <w:t>以服务人口和服务半径优化公共服务资源布局，</w:t>
      </w:r>
      <w:r>
        <w:rPr>
          <w:szCs w:val="32"/>
        </w:rPr>
        <w:t>加快城乡间、区域间基本公共服务制度对接和标准统一，</w:t>
      </w:r>
      <w:r>
        <w:rPr>
          <w:kern w:val="0"/>
          <w:szCs w:val="32"/>
        </w:rPr>
        <w:t>以标准化供给提高均等化水平，推进城乡</w:t>
      </w:r>
      <w:r>
        <w:rPr>
          <w:rFonts w:hint="eastAsia"/>
          <w:kern w:val="0"/>
          <w:szCs w:val="32"/>
        </w:rPr>
        <w:t>间</w:t>
      </w:r>
      <w:r>
        <w:rPr>
          <w:kern w:val="0"/>
          <w:szCs w:val="32"/>
        </w:rPr>
        <w:t>、区域</w:t>
      </w:r>
      <w:r>
        <w:rPr>
          <w:rFonts w:hint="eastAsia"/>
          <w:kern w:val="0"/>
          <w:szCs w:val="32"/>
        </w:rPr>
        <w:t>间</w:t>
      </w:r>
      <w:r>
        <w:rPr>
          <w:kern w:val="0"/>
          <w:szCs w:val="32"/>
        </w:rPr>
        <w:t>、</w:t>
      </w:r>
      <w:r>
        <w:rPr>
          <w:szCs w:val="32"/>
        </w:rPr>
        <w:t>群体间</w:t>
      </w:r>
      <w:r>
        <w:rPr>
          <w:kern w:val="0"/>
          <w:szCs w:val="32"/>
        </w:rPr>
        <w:t>公共服务更加普惠均等可及。</w:t>
      </w:r>
    </w:p>
    <w:p>
      <w:pPr>
        <w:spacing w:line="600" w:lineRule="exact"/>
        <w:ind w:firstLine="632" w:firstLineChars="200"/>
        <w:rPr>
          <w:rFonts w:eastAsia="微软雅黑"/>
        </w:rPr>
      </w:pPr>
      <w:r>
        <w:rPr>
          <w:szCs w:val="32"/>
        </w:rPr>
        <w:t>建机制。</w:t>
      </w:r>
      <w:r>
        <w:rPr>
          <w:rFonts w:hint="eastAsia"/>
          <w:szCs w:val="32"/>
        </w:rPr>
        <w:t>突出</w:t>
      </w:r>
      <w:r>
        <w:rPr>
          <w:kern w:val="0"/>
          <w:szCs w:val="32"/>
        </w:rPr>
        <w:t>顶层设计和制度建设，推进基本公共服务制度化、标准化、规范化建设，建立一套相对统一的公共服务管理制度，规范服务项目、强化财政管理、保障服务供给。</w:t>
      </w:r>
      <w:r>
        <w:rPr>
          <w:szCs w:val="32"/>
        </w:rPr>
        <w:t>建立多元化供给机制，强化非基本公共服务供给。</w:t>
      </w:r>
    </w:p>
    <w:p>
      <w:pPr>
        <w:spacing w:line="600" w:lineRule="exact"/>
        <w:ind w:firstLine="632" w:firstLineChars="200"/>
        <w:rPr>
          <w:szCs w:val="32"/>
        </w:rPr>
      </w:pPr>
      <w:r>
        <w:rPr>
          <w:szCs w:val="32"/>
        </w:rPr>
        <w:t>提品质。</w:t>
      </w:r>
      <w:r>
        <w:rPr>
          <w:rFonts w:hint="eastAsia"/>
          <w:szCs w:val="32"/>
        </w:rPr>
        <w:t>突出</w:t>
      </w:r>
      <w:r>
        <w:rPr>
          <w:szCs w:val="32"/>
        </w:rPr>
        <w:t>改革创新和可持续，以社会化推进公共服务供给模式创新，</w:t>
      </w:r>
      <w:r>
        <w:rPr>
          <w:kern w:val="0"/>
          <w:szCs w:val="32"/>
        </w:rPr>
        <w:t>扩大个性化品质化公共服务供给</w:t>
      </w:r>
      <w:r>
        <w:rPr>
          <w:szCs w:val="32"/>
        </w:rPr>
        <w:t>。</w:t>
      </w:r>
      <w:r>
        <w:rPr>
          <w:kern w:val="0"/>
          <w:szCs w:val="32"/>
        </w:rPr>
        <w:t>以数字化改革加强服务供需对接，优化公共服务资源配置，不断提高公共服务精准服务水平和供给效率</w:t>
      </w:r>
      <w:r>
        <w:rPr>
          <w:rFonts w:hint="eastAsia"/>
          <w:kern w:val="0"/>
          <w:szCs w:val="32"/>
        </w:rPr>
        <w:t>。</w:t>
      </w:r>
    </w:p>
    <w:p>
      <w:pPr>
        <w:spacing w:line="600" w:lineRule="exact"/>
        <w:ind w:firstLine="632" w:firstLineChars="200"/>
        <w:outlineLvl w:val="1"/>
        <w:rPr>
          <w:rFonts w:ascii="楷体_GB2312" w:hAnsi="楷体_GB2312" w:eastAsia="楷体_GB2312" w:cs="楷体_GB2312"/>
          <w:szCs w:val="32"/>
        </w:rPr>
      </w:pPr>
      <w:r>
        <w:rPr>
          <w:rFonts w:hint="eastAsia" w:ascii="楷体_GB2312" w:hAnsi="楷体_GB2312" w:eastAsia="楷体_GB2312" w:cs="楷体_GB2312"/>
          <w:szCs w:val="32"/>
        </w:rPr>
        <w:t>（三）主要目标。</w:t>
      </w:r>
    </w:p>
    <w:p>
      <w:pPr>
        <w:spacing w:line="600" w:lineRule="exact"/>
        <w:ind w:firstLine="632" w:firstLineChars="200"/>
        <w:rPr>
          <w:rFonts w:ascii="仿宋_GB2312"/>
          <w:szCs w:val="32"/>
        </w:rPr>
      </w:pPr>
      <w:r>
        <w:rPr>
          <w:rFonts w:hint="eastAsia"/>
          <w:szCs w:val="32"/>
        </w:rPr>
        <w:t xml:space="preserve">1. </w:t>
      </w:r>
      <w:r>
        <w:rPr>
          <w:rFonts w:hint="eastAsia" w:ascii="仿宋_GB2312"/>
          <w:szCs w:val="32"/>
        </w:rPr>
        <w:t>“十四五”发展目标。</w:t>
      </w:r>
    </w:p>
    <w:p>
      <w:pPr>
        <w:spacing w:line="600" w:lineRule="exact"/>
        <w:ind w:firstLine="632" w:firstLineChars="200"/>
        <w:rPr>
          <w:szCs w:val="32"/>
        </w:rPr>
      </w:pPr>
      <w:r>
        <w:rPr>
          <w:szCs w:val="32"/>
        </w:rPr>
        <w:t>到2025年，</w:t>
      </w:r>
      <w:r>
        <w:rPr>
          <w:rFonts w:hint="eastAsia"/>
          <w:szCs w:val="32"/>
        </w:rPr>
        <w:t>基本建成与高质量发展建设共同富裕先行市目标相适应的高质量公共服务体系，</w:t>
      </w:r>
      <w:r>
        <w:rPr>
          <w:szCs w:val="32"/>
        </w:rPr>
        <w:t>服务水平和运行效率居全省中上游，人民全生命周期公共服务需求得到高水平满足</w:t>
      </w:r>
      <w:r>
        <w:rPr>
          <w:rFonts w:hint="eastAsia"/>
          <w:szCs w:val="32"/>
        </w:rPr>
        <w:t>，为实现共同富裕提供台州示范。</w:t>
      </w:r>
    </w:p>
    <w:p>
      <w:pPr>
        <w:spacing w:line="600" w:lineRule="exact"/>
        <w:ind w:firstLine="632" w:firstLineChars="200"/>
        <w:rPr>
          <w:szCs w:val="32"/>
        </w:rPr>
      </w:pPr>
      <w:r>
        <w:rPr>
          <w:szCs w:val="32"/>
        </w:rPr>
        <w:t>服务更加均等。公共服务标准更加完善，产品更加公平可及，城乡间、区域间、群体间差距基本破除，基本公共服务资源全面向基层延伸、农村覆盖</w:t>
      </w:r>
      <w:r>
        <w:rPr>
          <w:rFonts w:hint="eastAsia"/>
          <w:szCs w:val="32"/>
        </w:rPr>
        <w:t>，</w:t>
      </w:r>
      <w:r>
        <w:rPr>
          <w:szCs w:val="32"/>
        </w:rPr>
        <w:t>向山区海岛地区和生活困难群众倾斜，向常住人口全覆盖。</w:t>
      </w:r>
    </w:p>
    <w:p>
      <w:pPr>
        <w:spacing w:line="600" w:lineRule="exact"/>
        <w:ind w:firstLine="632" w:firstLineChars="200"/>
        <w:rPr>
          <w:szCs w:val="32"/>
        </w:rPr>
      </w:pPr>
      <w:r>
        <w:rPr>
          <w:szCs w:val="32"/>
        </w:rPr>
        <w:t>质效不断提升。系统完善、层次分明、衔接配套、科学适用的公共服务体系全面建成，公共服务项目和内容更加丰富。公共服务供给与需求对接更加精准，自助服务覆盖面持续扩大，人民群众获得服务方式更加高效便捷。</w:t>
      </w:r>
    </w:p>
    <w:p>
      <w:pPr>
        <w:spacing w:line="600" w:lineRule="exact"/>
        <w:ind w:firstLine="632" w:firstLineChars="200"/>
        <w:rPr>
          <w:szCs w:val="32"/>
        </w:rPr>
      </w:pPr>
      <w:r>
        <w:rPr>
          <w:szCs w:val="32"/>
        </w:rPr>
        <w:t>制度更加健全。公共服务实施机制更加完善，统筹协调、财政保障、监督问责等制度全面建立，数字公共服务制度体系基本健全，服务内容、管理流程、监督评价更加透明规范，整体运行稳定高效可持续</w:t>
      </w:r>
      <w:r>
        <w:rPr>
          <w:bCs/>
          <w:szCs w:val="32"/>
        </w:rPr>
        <w:t>。</w:t>
      </w:r>
    </w:p>
    <w:p>
      <w:pPr>
        <w:spacing w:line="600" w:lineRule="exact"/>
        <w:ind w:firstLine="632" w:firstLineChars="200"/>
        <w:rPr>
          <w:szCs w:val="32"/>
        </w:rPr>
      </w:pPr>
      <w:r>
        <w:rPr>
          <w:szCs w:val="32"/>
        </w:rPr>
        <w:t>方式更加多元。统筹协调、运行高效、多元供给的公共服务体系基本形成，社会力量参与更加</w:t>
      </w:r>
      <w:r>
        <w:rPr>
          <w:rFonts w:hint="eastAsia"/>
          <w:szCs w:val="32"/>
        </w:rPr>
        <w:t>积极</w:t>
      </w:r>
      <w:r>
        <w:rPr>
          <w:szCs w:val="32"/>
        </w:rPr>
        <w:t>，数字化改革和新技术应用全面深化，公共服务协同应用场景全面拓展，供给方式创新智能，人民群众公共服务获得感更强。</w:t>
      </w:r>
    </w:p>
    <w:p>
      <w:pPr>
        <w:spacing w:line="600" w:lineRule="exact"/>
        <w:jc w:val="center"/>
        <w:rPr>
          <w:rFonts w:ascii="黑体" w:hAnsi="黑体" w:eastAsia="黑体"/>
          <w:szCs w:val="32"/>
        </w:rPr>
      </w:pPr>
      <w:r>
        <w:rPr>
          <w:rFonts w:ascii="黑体" w:hAnsi="黑体" w:eastAsia="黑体"/>
          <w:szCs w:val="32"/>
        </w:rPr>
        <w:t>表</w:t>
      </w:r>
      <w:r>
        <w:rPr>
          <w:rFonts w:eastAsia="黑体"/>
          <w:szCs w:val="32"/>
        </w:rPr>
        <w:t xml:space="preserve">2 </w:t>
      </w:r>
      <w:r>
        <w:rPr>
          <w:rFonts w:ascii="黑体" w:hAnsi="黑体" w:eastAsia="黑体"/>
          <w:szCs w:val="32"/>
        </w:rPr>
        <w:t>“十四五”公共服</w:t>
      </w:r>
      <w:r>
        <w:rPr>
          <w:rFonts w:hint="eastAsia" w:ascii="黑体" w:hAnsi="黑体" w:eastAsia="黑体"/>
          <w:szCs w:val="32"/>
        </w:rPr>
        <w:t>务</w:t>
      </w:r>
      <w:r>
        <w:rPr>
          <w:rFonts w:ascii="黑体" w:hAnsi="黑体" w:eastAsia="黑体"/>
          <w:szCs w:val="32"/>
        </w:rPr>
        <w:t>主要指标目标表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709"/>
        <w:gridCol w:w="3544"/>
        <w:gridCol w:w="2005"/>
        <w:gridCol w:w="10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blHeader/>
          <w:jc w:val="center"/>
        </w:trPr>
        <w:tc>
          <w:tcPr>
            <w:tcW w:w="785" w:type="dxa"/>
            <w:vAlign w:val="center"/>
          </w:tcPr>
          <w:p>
            <w:pPr>
              <w:spacing w:line="280" w:lineRule="exact"/>
              <w:jc w:val="center"/>
              <w:rPr>
                <w:rFonts w:ascii="黑体" w:hAnsi="黑体" w:eastAsia="黑体"/>
                <w:sz w:val="24"/>
              </w:rPr>
            </w:pPr>
            <w:r>
              <w:rPr>
                <w:rFonts w:ascii="黑体" w:hAnsi="黑体" w:eastAsia="黑体"/>
                <w:sz w:val="24"/>
              </w:rPr>
              <w:t>类别</w:t>
            </w:r>
          </w:p>
        </w:tc>
        <w:tc>
          <w:tcPr>
            <w:tcW w:w="709" w:type="dxa"/>
            <w:vAlign w:val="center"/>
          </w:tcPr>
          <w:p>
            <w:pPr>
              <w:spacing w:line="280" w:lineRule="exact"/>
              <w:jc w:val="center"/>
              <w:rPr>
                <w:rFonts w:ascii="黑体" w:hAnsi="黑体" w:eastAsia="黑体"/>
                <w:sz w:val="24"/>
              </w:rPr>
            </w:pPr>
            <w:r>
              <w:rPr>
                <w:rFonts w:ascii="黑体" w:hAnsi="黑体" w:eastAsia="黑体"/>
                <w:sz w:val="24"/>
              </w:rPr>
              <w:t>序号</w:t>
            </w:r>
          </w:p>
        </w:tc>
        <w:tc>
          <w:tcPr>
            <w:tcW w:w="5549" w:type="dxa"/>
            <w:gridSpan w:val="2"/>
            <w:vAlign w:val="center"/>
          </w:tcPr>
          <w:p>
            <w:pPr>
              <w:spacing w:line="280" w:lineRule="exact"/>
              <w:jc w:val="center"/>
              <w:rPr>
                <w:rFonts w:ascii="黑体" w:hAnsi="黑体" w:eastAsia="黑体"/>
                <w:sz w:val="24"/>
              </w:rPr>
            </w:pPr>
            <w:r>
              <w:rPr>
                <w:rFonts w:ascii="黑体" w:hAnsi="黑体" w:eastAsia="黑体"/>
                <w:sz w:val="24"/>
              </w:rPr>
              <w:t>指标名称</w:t>
            </w:r>
          </w:p>
        </w:tc>
        <w:tc>
          <w:tcPr>
            <w:tcW w:w="1051" w:type="dxa"/>
            <w:vAlign w:val="center"/>
          </w:tcPr>
          <w:p>
            <w:pPr>
              <w:spacing w:line="280" w:lineRule="exact"/>
              <w:jc w:val="center"/>
              <w:rPr>
                <w:rFonts w:eastAsia="黑体"/>
                <w:sz w:val="24"/>
              </w:rPr>
            </w:pPr>
            <w:r>
              <w:rPr>
                <w:rFonts w:eastAsia="黑体"/>
                <w:sz w:val="24"/>
              </w:rPr>
              <w:t>2020</w:t>
            </w:r>
            <w:r>
              <w:rPr>
                <w:rFonts w:hAnsi="黑体" w:eastAsia="黑体"/>
                <w:sz w:val="24"/>
              </w:rPr>
              <w:t>年</w:t>
            </w:r>
          </w:p>
        </w:tc>
        <w:tc>
          <w:tcPr>
            <w:tcW w:w="992" w:type="dxa"/>
            <w:vAlign w:val="center"/>
          </w:tcPr>
          <w:p>
            <w:pPr>
              <w:spacing w:line="280" w:lineRule="exact"/>
              <w:jc w:val="center"/>
              <w:rPr>
                <w:rFonts w:eastAsia="黑体"/>
                <w:sz w:val="24"/>
              </w:rPr>
            </w:pPr>
            <w:r>
              <w:rPr>
                <w:rFonts w:eastAsia="黑体"/>
                <w:sz w:val="24"/>
              </w:rPr>
              <w:t>2025</w:t>
            </w:r>
            <w:r>
              <w:rPr>
                <w:rFonts w:hAnsi="黑体" w:eastAsia="黑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85" w:type="dxa"/>
            <w:vMerge w:val="restart"/>
            <w:vAlign w:val="center"/>
          </w:tcPr>
          <w:p>
            <w:pPr>
              <w:spacing w:line="280" w:lineRule="exact"/>
              <w:jc w:val="center"/>
              <w:rPr>
                <w:sz w:val="24"/>
              </w:rPr>
            </w:pPr>
            <w:r>
              <w:rPr>
                <w:sz w:val="24"/>
              </w:rPr>
              <w:t>托育照护服务</w:t>
            </w:r>
          </w:p>
        </w:tc>
        <w:tc>
          <w:tcPr>
            <w:tcW w:w="709" w:type="dxa"/>
            <w:vAlign w:val="center"/>
          </w:tcPr>
          <w:p>
            <w:pPr>
              <w:spacing w:line="280" w:lineRule="exact"/>
              <w:jc w:val="center"/>
              <w:rPr>
                <w:bCs/>
                <w:sz w:val="24"/>
              </w:rPr>
            </w:pPr>
            <w:r>
              <w:rPr>
                <w:bCs/>
                <w:sz w:val="24"/>
              </w:rPr>
              <w:t>1</w:t>
            </w:r>
          </w:p>
        </w:tc>
        <w:tc>
          <w:tcPr>
            <w:tcW w:w="5549" w:type="dxa"/>
            <w:gridSpan w:val="2"/>
            <w:vAlign w:val="center"/>
          </w:tcPr>
          <w:p>
            <w:pPr>
              <w:spacing w:line="280" w:lineRule="exact"/>
              <w:rPr>
                <w:sz w:val="24"/>
              </w:rPr>
            </w:pPr>
            <w:r>
              <w:rPr>
                <w:sz w:val="24"/>
              </w:rPr>
              <w:t>3岁以下婴幼儿托育机构覆盖率（%）</w:t>
            </w:r>
          </w:p>
        </w:tc>
        <w:tc>
          <w:tcPr>
            <w:tcW w:w="1051" w:type="dxa"/>
            <w:vAlign w:val="center"/>
          </w:tcPr>
          <w:p>
            <w:pPr>
              <w:spacing w:line="280" w:lineRule="exact"/>
              <w:jc w:val="center"/>
              <w:rPr>
                <w:sz w:val="24"/>
              </w:rPr>
            </w:pPr>
            <w:r>
              <w:rPr>
                <w:sz w:val="24"/>
              </w:rPr>
              <w:t>－</w:t>
            </w:r>
          </w:p>
        </w:tc>
        <w:tc>
          <w:tcPr>
            <w:tcW w:w="992" w:type="dxa"/>
            <w:vAlign w:val="center"/>
          </w:tcPr>
          <w:p>
            <w:pPr>
              <w:spacing w:line="280" w:lineRule="exact"/>
              <w:jc w:val="center"/>
              <w:rPr>
                <w:sz w:val="24"/>
              </w:rPr>
            </w:pPr>
            <w:r>
              <w:rPr>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bCs/>
                <w:sz w:val="24"/>
              </w:rPr>
            </w:pPr>
            <w:r>
              <w:rPr>
                <w:bCs/>
                <w:sz w:val="24"/>
              </w:rPr>
              <w:t>2</w:t>
            </w:r>
          </w:p>
        </w:tc>
        <w:tc>
          <w:tcPr>
            <w:tcW w:w="5549" w:type="dxa"/>
            <w:gridSpan w:val="2"/>
            <w:vAlign w:val="center"/>
          </w:tcPr>
          <w:p>
            <w:pPr>
              <w:spacing w:line="280" w:lineRule="exact"/>
              <w:rPr>
                <w:sz w:val="24"/>
              </w:rPr>
            </w:pPr>
            <w:r>
              <w:rPr>
                <w:sz w:val="24"/>
              </w:rPr>
              <w:t>每千人口拥有3岁以下婴幼儿托位数（个）</w:t>
            </w:r>
          </w:p>
        </w:tc>
        <w:tc>
          <w:tcPr>
            <w:tcW w:w="1051" w:type="dxa"/>
            <w:vAlign w:val="center"/>
          </w:tcPr>
          <w:p>
            <w:pPr>
              <w:spacing w:line="280" w:lineRule="exact"/>
              <w:jc w:val="center"/>
              <w:rPr>
                <w:sz w:val="24"/>
              </w:rPr>
            </w:pPr>
            <w:r>
              <w:rPr>
                <w:sz w:val="24"/>
              </w:rPr>
              <w:t>－</w:t>
            </w:r>
          </w:p>
        </w:tc>
        <w:tc>
          <w:tcPr>
            <w:tcW w:w="992" w:type="dxa"/>
            <w:vAlign w:val="center"/>
          </w:tcPr>
          <w:p>
            <w:pPr>
              <w:spacing w:line="280" w:lineRule="exact"/>
              <w:jc w:val="center"/>
              <w:rPr>
                <w:sz w:val="24"/>
              </w:rPr>
            </w:pPr>
            <w:r>
              <w:rPr>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bCs/>
                <w:sz w:val="24"/>
              </w:rPr>
            </w:pPr>
            <w:r>
              <w:rPr>
                <w:bCs/>
                <w:sz w:val="24"/>
              </w:rPr>
              <w:t>3</w:t>
            </w:r>
          </w:p>
        </w:tc>
        <w:tc>
          <w:tcPr>
            <w:tcW w:w="5549" w:type="dxa"/>
            <w:gridSpan w:val="2"/>
            <w:vAlign w:val="center"/>
          </w:tcPr>
          <w:p>
            <w:pPr>
              <w:spacing w:line="280" w:lineRule="exact"/>
              <w:rPr>
                <w:sz w:val="24"/>
              </w:rPr>
            </w:pPr>
            <w:r>
              <w:rPr>
                <w:sz w:val="24"/>
              </w:rPr>
              <w:t>婴幼儿照护服务机构从业人员持证率（%）</w:t>
            </w:r>
          </w:p>
        </w:tc>
        <w:tc>
          <w:tcPr>
            <w:tcW w:w="1051" w:type="dxa"/>
            <w:vAlign w:val="center"/>
          </w:tcPr>
          <w:p>
            <w:pPr>
              <w:spacing w:line="280" w:lineRule="exact"/>
              <w:jc w:val="center"/>
              <w:rPr>
                <w:sz w:val="24"/>
              </w:rPr>
            </w:pPr>
            <w:r>
              <w:rPr>
                <w:sz w:val="24"/>
              </w:rPr>
              <w:t>－</w:t>
            </w:r>
          </w:p>
        </w:tc>
        <w:tc>
          <w:tcPr>
            <w:tcW w:w="992" w:type="dxa"/>
            <w:vAlign w:val="center"/>
          </w:tcPr>
          <w:p>
            <w:pPr>
              <w:spacing w:line="280" w:lineRule="exact"/>
              <w:jc w:val="center"/>
              <w:rPr>
                <w:sz w:val="24"/>
              </w:rPr>
            </w:pPr>
            <w:r>
              <w:rPr>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85" w:type="dxa"/>
            <w:vMerge w:val="restart"/>
            <w:vAlign w:val="center"/>
          </w:tcPr>
          <w:p>
            <w:pPr>
              <w:spacing w:line="280" w:lineRule="exact"/>
              <w:jc w:val="center"/>
              <w:rPr>
                <w:sz w:val="24"/>
              </w:rPr>
            </w:pPr>
            <w:r>
              <w:rPr>
                <w:sz w:val="24"/>
              </w:rPr>
              <w:t>现代教育服务</w:t>
            </w:r>
          </w:p>
        </w:tc>
        <w:tc>
          <w:tcPr>
            <w:tcW w:w="709" w:type="dxa"/>
            <w:vAlign w:val="center"/>
          </w:tcPr>
          <w:p>
            <w:pPr>
              <w:spacing w:line="280" w:lineRule="exact"/>
              <w:jc w:val="center"/>
              <w:rPr>
                <w:sz w:val="24"/>
              </w:rPr>
            </w:pPr>
            <w:r>
              <w:rPr>
                <w:sz w:val="24"/>
              </w:rPr>
              <w:t>4</w:t>
            </w:r>
          </w:p>
        </w:tc>
        <w:tc>
          <w:tcPr>
            <w:tcW w:w="5549" w:type="dxa"/>
            <w:gridSpan w:val="2"/>
            <w:vAlign w:val="center"/>
          </w:tcPr>
          <w:p>
            <w:pPr>
              <w:spacing w:line="280" w:lineRule="exact"/>
              <w:rPr>
                <w:sz w:val="24"/>
              </w:rPr>
            </w:pPr>
            <w:r>
              <w:rPr>
                <w:sz w:val="24"/>
              </w:rPr>
              <w:t>儿童预期受教育年限（年）</w:t>
            </w:r>
          </w:p>
        </w:tc>
        <w:tc>
          <w:tcPr>
            <w:tcW w:w="1051" w:type="dxa"/>
            <w:vAlign w:val="center"/>
          </w:tcPr>
          <w:p>
            <w:pPr>
              <w:spacing w:line="280" w:lineRule="exact"/>
              <w:jc w:val="center"/>
              <w:rPr>
                <w:sz w:val="24"/>
              </w:rPr>
            </w:pPr>
            <w:r>
              <w:rPr>
                <w:sz w:val="24"/>
              </w:rPr>
              <w:t>15</w:t>
            </w:r>
          </w:p>
        </w:tc>
        <w:tc>
          <w:tcPr>
            <w:tcW w:w="992" w:type="dxa"/>
            <w:vAlign w:val="center"/>
          </w:tcPr>
          <w:p>
            <w:pPr>
              <w:spacing w:line="280" w:lineRule="exact"/>
              <w:jc w:val="center"/>
              <w:rPr>
                <w:sz w:val="24"/>
              </w:rPr>
            </w:pPr>
            <w:r>
              <w:rPr>
                <w:rFonts w:hint="eastAsia"/>
                <w:sz w:val="24"/>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5</w:t>
            </w:r>
          </w:p>
        </w:tc>
        <w:tc>
          <w:tcPr>
            <w:tcW w:w="5549" w:type="dxa"/>
            <w:gridSpan w:val="2"/>
            <w:vAlign w:val="center"/>
          </w:tcPr>
          <w:p>
            <w:pPr>
              <w:spacing w:line="280" w:lineRule="exact"/>
              <w:rPr>
                <w:sz w:val="24"/>
              </w:rPr>
            </w:pPr>
            <w:r>
              <w:rPr>
                <w:sz w:val="24"/>
              </w:rPr>
              <w:t>劳动年龄人口平均受教育年限（年）</w:t>
            </w:r>
          </w:p>
        </w:tc>
        <w:tc>
          <w:tcPr>
            <w:tcW w:w="1051" w:type="dxa"/>
            <w:vAlign w:val="center"/>
          </w:tcPr>
          <w:p>
            <w:pPr>
              <w:spacing w:line="280" w:lineRule="exact"/>
              <w:jc w:val="center"/>
              <w:rPr>
                <w:sz w:val="24"/>
              </w:rPr>
            </w:pPr>
            <w:r>
              <w:rPr>
                <w:sz w:val="24"/>
              </w:rPr>
              <w:t>9.9</w:t>
            </w:r>
          </w:p>
        </w:tc>
        <w:tc>
          <w:tcPr>
            <w:tcW w:w="992" w:type="dxa"/>
            <w:vAlign w:val="center"/>
          </w:tcPr>
          <w:p>
            <w:pPr>
              <w:spacing w:line="280" w:lineRule="exact"/>
              <w:jc w:val="center"/>
              <w:rPr>
                <w:sz w:val="24"/>
              </w:rPr>
            </w:pPr>
            <w:r>
              <w:rPr>
                <w:sz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6</w:t>
            </w:r>
          </w:p>
        </w:tc>
        <w:tc>
          <w:tcPr>
            <w:tcW w:w="5549" w:type="dxa"/>
            <w:gridSpan w:val="2"/>
            <w:vAlign w:val="center"/>
          </w:tcPr>
          <w:p>
            <w:pPr>
              <w:spacing w:line="280" w:lineRule="exact"/>
              <w:rPr>
                <w:sz w:val="24"/>
              </w:rPr>
            </w:pPr>
            <w:r>
              <w:rPr>
                <w:sz w:val="24"/>
              </w:rPr>
              <w:t>普惠幼儿园（含公办园）比例（%）</w:t>
            </w:r>
          </w:p>
        </w:tc>
        <w:tc>
          <w:tcPr>
            <w:tcW w:w="1051" w:type="dxa"/>
            <w:vAlign w:val="center"/>
          </w:tcPr>
          <w:p>
            <w:pPr>
              <w:spacing w:line="280" w:lineRule="exact"/>
              <w:jc w:val="center"/>
              <w:rPr>
                <w:sz w:val="24"/>
              </w:rPr>
            </w:pPr>
            <w:r>
              <w:rPr>
                <w:sz w:val="24"/>
              </w:rPr>
              <w:t>92.36</w:t>
            </w:r>
          </w:p>
        </w:tc>
        <w:tc>
          <w:tcPr>
            <w:tcW w:w="992" w:type="dxa"/>
            <w:vAlign w:val="center"/>
          </w:tcPr>
          <w:p>
            <w:pPr>
              <w:spacing w:line="280" w:lineRule="exact"/>
              <w:jc w:val="center"/>
              <w:rPr>
                <w:sz w:val="24"/>
              </w:rPr>
            </w:pPr>
            <w:r>
              <w:rPr>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85" w:type="dxa"/>
            <w:vMerge w:val="continue"/>
            <w:vAlign w:val="center"/>
          </w:tcPr>
          <w:p>
            <w:pPr>
              <w:spacing w:line="280" w:lineRule="exact"/>
              <w:jc w:val="center"/>
              <w:rPr>
                <w:sz w:val="24"/>
              </w:rPr>
            </w:pPr>
          </w:p>
        </w:tc>
        <w:tc>
          <w:tcPr>
            <w:tcW w:w="709" w:type="dxa"/>
            <w:vMerge w:val="restart"/>
            <w:vAlign w:val="center"/>
          </w:tcPr>
          <w:p>
            <w:pPr>
              <w:spacing w:line="280" w:lineRule="exact"/>
              <w:jc w:val="center"/>
              <w:rPr>
                <w:sz w:val="24"/>
              </w:rPr>
            </w:pPr>
          </w:p>
          <w:p>
            <w:pPr>
              <w:spacing w:line="280" w:lineRule="exact"/>
              <w:jc w:val="center"/>
              <w:rPr>
                <w:sz w:val="24"/>
              </w:rPr>
            </w:pPr>
            <w:r>
              <w:rPr>
                <w:sz w:val="24"/>
              </w:rPr>
              <w:t>7</w:t>
            </w:r>
          </w:p>
        </w:tc>
        <w:tc>
          <w:tcPr>
            <w:tcW w:w="3544" w:type="dxa"/>
            <w:vMerge w:val="restart"/>
            <w:vAlign w:val="center"/>
          </w:tcPr>
          <w:p>
            <w:pPr>
              <w:spacing w:line="280" w:lineRule="exact"/>
              <w:rPr>
                <w:sz w:val="24"/>
              </w:rPr>
            </w:pPr>
            <w:r>
              <w:rPr>
                <w:sz w:val="24"/>
              </w:rPr>
              <w:t>持证适龄残疾儿童少年入学率</w:t>
            </w:r>
          </w:p>
        </w:tc>
        <w:tc>
          <w:tcPr>
            <w:tcW w:w="2005" w:type="dxa"/>
            <w:vAlign w:val="center"/>
          </w:tcPr>
          <w:p>
            <w:pPr>
              <w:spacing w:line="280" w:lineRule="exact"/>
              <w:rPr>
                <w:sz w:val="24"/>
              </w:rPr>
            </w:pPr>
            <w:r>
              <w:rPr>
                <w:sz w:val="24"/>
              </w:rPr>
              <w:t>学前段（%）</w:t>
            </w:r>
          </w:p>
        </w:tc>
        <w:tc>
          <w:tcPr>
            <w:tcW w:w="1051" w:type="dxa"/>
            <w:vAlign w:val="center"/>
          </w:tcPr>
          <w:p>
            <w:pPr>
              <w:spacing w:line="280" w:lineRule="exact"/>
              <w:jc w:val="center"/>
              <w:rPr>
                <w:sz w:val="24"/>
              </w:rPr>
            </w:pPr>
            <w:r>
              <w:rPr>
                <w:sz w:val="24"/>
              </w:rPr>
              <w:t>97.16</w:t>
            </w:r>
          </w:p>
        </w:tc>
        <w:tc>
          <w:tcPr>
            <w:tcW w:w="992" w:type="dxa"/>
            <w:vAlign w:val="center"/>
          </w:tcPr>
          <w:p>
            <w:pPr>
              <w:spacing w:line="280" w:lineRule="exact"/>
              <w:jc w:val="center"/>
              <w:rPr>
                <w:sz w:val="24"/>
              </w:rPr>
            </w:pPr>
            <w:r>
              <w:rPr>
                <w:rFonts w:hint="eastAsia" w:ascii="仿宋_GB2312"/>
                <w:sz w:val="24"/>
              </w:rPr>
              <w:t>≥</w:t>
            </w:r>
            <w:r>
              <w:rPr>
                <w:sz w:val="24"/>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85" w:type="dxa"/>
            <w:vMerge w:val="continue"/>
            <w:vAlign w:val="center"/>
          </w:tcPr>
          <w:p>
            <w:pPr>
              <w:spacing w:line="280" w:lineRule="exact"/>
              <w:jc w:val="center"/>
              <w:rPr>
                <w:sz w:val="24"/>
              </w:rPr>
            </w:pPr>
          </w:p>
        </w:tc>
        <w:tc>
          <w:tcPr>
            <w:tcW w:w="709" w:type="dxa"/>
            <w:vMerge w:val="continue"/>
            <w:vAlign w:val="center"/>
          </w:tcPr>
          <w:p>
            <w:pPr>
              <w:spacing w:line="280" w:lineRule="exact"/>
              <w:jc w:val="center"/>
              <w:rPr>
                <w:sz w:val="24"/>
              </w:rPr>
            </w:pPr>
          </w:p>
        </w:tc>
        <w:tc>
          <w:tcPr>
            <w:tcW w:w="3544" w:type="dxa"/>
            <w:vMerge w:val="continue"/>
            <w:vAlign w:val="center"/>
          </w:tcPr>
          <w:p>
            <w:pPr>
              <w:spacing w:line="280" w:lineRule="exact"/>
              <w:rPr>
                <w:sz w:val="24"/>
              </w:rPr>
            </w:pPr>
          </w:p>
        </w:tc>
        <w:tc>
          <w:tcPr>
            <w:tcW w:w="2005" w:type="dxa"/>
            <w:vAlign w:val="center"/>
          </w:tcPr>
          <w:p>
            <w:pPr>
              <w:spacing w:line="280" w:lineRule="exact"/>
              <w:rPr>
                <w:sz w:val="24"/>
              </w:rPr>
            </w:pPr>
            <w:r>
              <w:rPr>
                <w:sz w:val="24"/>
              </w:rPr>
              <w:t>义务段（%）</w:t>
            </w:r>
          </w:p>
        </w:tc>
        <w:tc>
          <w:tcPr>
            <w:tcW w:w="1051" w:type="dxa"/>
            <w:vAlign w:val="center"/>
          </w:tcPr>
          <w:p>
            <w:pPr>
              <w:spacing w:line="280" w:lineRule="exact"/>
              <w:jc w:val="center"/>
              <w:rPr>
                <w:sz w:val="24"/>
              </w:rPr>
            </w:pPr>
            <w:r>
              <w:rPr>
                <w:sz w:val="24"/>
              </w:rPr>
              <w:t>99.73</w:t>
            </w:r>
          </w:p>
        </w:tc>
        <w:tc>
          <w:tcPr>
            <w:tcW w:w="992" w:type="dxa"/>
            <w:vAlign w:val="center"/>
          </w:tcPr>
          <w:p>
            <w:pPr>
              <w:spacing w:line="280" w:lineRule="exact"/>
              <w:jc w:val="center"/>
              <w:rPr>
                <w:sz w:val="24"/>
              </w:rPr>
            </w:pPr>
            <w:r>
              <w:rPr>
                <w:rFonts w:hint="eastAsia" w:ascii="仿宋_GB2312"/>
                <w:sz w:val="24"/>
              </w:rPr>
              <w:t>≥</w:t>
            </w:r>
            <w:r>
              <w:rPr>
                <w:sz w:val="24"/>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85" w:type="dxa"/>
            <w:vMerge w:val="continue"/>
            <w:vAlign w:val="center"/>
          </w:tcPr>
          <w:p>
            <w:pPr>
              <w:spacing w:line="280" w:lineRule="exact"/>
              <w:jc w:val="center"/>
              <w:rPr>
                <w:sz w:val="24"/>
              </w:rPr>
            </w:pPr>
          </w:p>
        </w:tc>
        <w:tc>
          <w:tcPr>
            <w:tcW w:w="709" w:type="dxa"/>
            <w:vMerge w:val="continue"/>
            <w:vAlign w:val="center"/>
          </w:tcPr>
          <w:p>
            <w:pPr>
              <w:spacing w:line="280" w:lineRule="exact"/>
              <w:jc w:val="center"/>
              <w:rPr>
                <w:sz w:val="24"/>
              </w:rPr>
            </w:pPr>
          </w:p>
        </w:tc>
        <w:tc>
          <w:tcPr>
            <w:tcW w:w="3544" w:type="dxa"/>
            <w:vMerge w:val="continue"/>
            <w:vAlign w:val="center"/>
          </w:tcPr>
          <w:p>
            <w:pPr>
              <w:spacing w:line="280" w:lineRule="exact"/>
              <w:rPr>
                <w:sz w:val="24"/>
              </w:rPr>
            </w:pPr>
          </w:p>
        </w:tc>
        <w:tc>
          <w:tcPr>
            <w:tcW w:w="2005" w:type="dxa"/>
            <w:vAlign w:val="center"/>
          </w:tcPr>
          <w:p>
            <w:pPr>
              <w:spacing w:line="280" w:lineRule="exact"/>
              <w:rPr>
                <w:sz w:val="24"/>
              </w:rPr>
            </w:pPr>
            <w:r>
              <w:rPr>
                <w:sz w:val="24"/>
              </w:rPr>
              <w:t>高中段（%）</w:t>
            </w:r>
          </w:p>
        </w:tc>
        <w:tc>
          <w:tcPr>
            <w:tcW w:w="1051" w:type="dxa"/>
            <w:vAlign w:val="center"/>
          </w:tcPr>
          <w:p>
            <w:pPr>
              <w:spacing w:line="280" w:lineRule="exact"/>
              <w:jc w:val="center"/>
              <w:rPr>
                <w:sz w:val="24"/>
              </w:rPr>
            </w:pPr>
            <w:r>
              <w:rPr>
                <w:sz w:val="24"/>
              </w:rPr>
              <w:t>94.6</w:t>
            </w:r>
          </w:p>
        </w:tc>
        <w:tc>
          <w:tcPr>
            <w:tcW w:w="992" w:type="dxa"/>
            <w:vAlign w:val="center"/>
          </w:tcPr>
          <w:p>
            <w:pPr>
              <w:spacing w:line="280" w:lineRule="exact"/>
              <w:jc w:val="center"/>
              <w:rPr>
                <w:sz w:val="24"/>
              </w:rPr>
            </w:pPr>
            <w:r>
              <w:rPr>
                <w:rFonts w:hint="eastAsia" w:ascii="仿宋_GB2312"/>
                <w:sz w:val="24"/>
              </w:rPr>
              <w:t>≥</w:t>
            </w:r>
            <w:r>
              <w:rPr>
                <w:sz w:val="24"/>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8</w:t>
            </w:r>
          </w:p>
        </w:tc>
        <w:tc>
          <w:tcPr>
            <w:tcW w:w="5549" w:type="dxa"/>
            <w:gridSpan w:val="2"/>
            <w:vAlign w:val="center"/>
          </w:tcPr>
          <w:p>
            <w:pPr>
              <w:spacing w:line="280" w:lineRule="exact"/>
              <w:rPr>
                <w:sz w:val="24"/>
              </w:rPr>
            </w:pPr>
            <w:r>
              <w:rPr>
                <w:sz w:val="24"/>
              </w:rPr>
              <w:t>全国义务教育优质均衡</w:t>
            </w:r>
            <w:r>
              <w:rPr>
                <w:rFonts w:hint="eastAsia"/>
                <w:sz w:val="24"/>
              </w:rPr>
              <w:t>发展</w:t>
            </w:r>
            <w:r>
              <w:rPr>
                <w:sz w:val="24"/>
              </w:rPr>
              <w:t>县（市、区）比例（%）</w:t>
            </w:r>
          </w:p>
        </w:tc>
        <w:tc>
          <w:tcPr>
            <w:tcW w:w="1051" w:type="dxa"/>
            <w:vAlign w:val="center"/>
          </w:tcPr>
          <w:p>
            <w:pPr>
              <w:spacing w:line="280" w:lineRule="exact"/>
              <w:jc w:val="center"/>
              <w:rPr>
                <w:sz w:val="24"/>
              </w:rPr>
            </w:pPr>
            <w:r>
              <w:rPr>
                <w:sz w:val="24"/>
              </w:rPr>
              <w:t>－</w:t>
            </w:r>
          </w:p>
        </w:tc>
        <w:tc>
          <w:tcPr>
            <w:tcW w:w="992" w:type="dxa"/>
            <w:vAlign w:val="center"/>
          </w:tcPr>
          <w:p>
            <w:pPr>
              <w:spacing w:line="280" w:lineRule="exact"/>
              <w:jc w:val="center"/>
              <w:rPr>
                <w:sz w:val="24"/>
              </w:rPr>
            </w:pPr>
            <w:r>
              <w:rPr>
                <w:rFonts w:hint="eastAsia"/>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9</w:t>
            </w:r>
          </w:p>
        </w:tc>
        <w:tc>
          <w:tcPr>
            <w:tcW w:w="5549" w:type="dxa"/>
            <w:gridSpan w:val="2"/>
            <w:vAlign w:val="center"/>
          </w:tcPr>
          <w:p>
            <w:pPr>
              <w:spacing w:line="280" w:lineRule="exact"/>
              <w:rPr>
                <w:sz w:val="24"/>
              </w:rPr>
            </w:pPr>
            <w:r>
              <w:rPr>
                <w:sz w:val="24"/>
              </w:rPr>
              <w:t>高等教育毛入学率（%）</w:t>
            </w:r>
          </w:p>
        </w:tc>
        <w:tc>
          <w:tcPr>
            <w:tcW w:w="1051" w:type="dxa"/>
            <w:vAlign w:val="center"/>
          </w:tcPr>
          <w:p>
            <w:pPr>
              <w:spacing w:line="280" w:lineRule="exact"/>
              <w:jc w:val="center"/>
              <w:rPr>
                <w:sz w:val="24"/>
              </w:rPr>
            </w:pPr>
            <w:r>
              <w:rPr>
                <w:sz w:val="24"/>
              </w:rPr>
              <w:t>60</w:t>
            </w:r>
          </w:p>
        </w:tc>
        <w:tc>
          <w:tcPr>
            <w:tcW w:w="992" w:type="dxa"/>
            <w:vAlign w:val="center"/>
          </w:tcPr>
          <w:p>
            <w:pPr>
              <w:spacing w:line="280" w:lineRule="exact"/>
              <w:jc w:val="center"/>
              <w:rPr>
                <w:sz w:val="24"/>
              </w:rPr>
            </w:pPr>
            <w:r>
              <w:rPr>
                <w:rFonts w:hint="eastAsia" w:ascii="仿宋_GB2312"/>
                <w:sz w:val="24"/>
              </w:rPr>
              <w:t>≥</w:t>
            </w:r>
            <w:r>
              <w:rPr>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10</w:t>
            </w:r>
          </w:p>
        </w:tc>
        <w:tc>
          <w:tcPr>
            <w:tcW w:w="5549" w:type="dxa"/>
            <w:gridSpan w:val="2"/>
            <w:vAlign w:val="center"/>
          </w:tcPr>
          <w:p>
            <w:pPr>
              <w:widowControl/>
              <w:spacing w:line="280" w:lineRule="exact"/>
              <w:jc w:val="left"/>
              <w:rPr>
                <w:sz w:val="24"/>
              </w:rPr>
            </w:pPr>
            <w:r>
              <w:rPr>
                <w:sz w:val="24"/>
              </w:rPr>
              <w:t>高水平大学数量</w:t>
            </w:r>
          </w:p>
        </w:tc>
        <w:tc>
          <w:tcPr>
            <w:tcW w:w="1051" w:type="dxa"/>
            <w:vAlign w:val="center"/>
          </w:tcPr>
          <w:p>
            <w:pPr>
              <w:spacing w:line="280" w:lineRule="exact"/>
              <w:jc w:val="center"/>
              <w:rPr>
                <w:sz w:val="24"/>
              </w:rPr>
            </w:pPr>
            <w:r>
              <w:rPr>
                <w:sz w:val="24"/>
              </w:rPr>
              <w:t>－</w:t>
            </w:r>
          </w:p>
        </w:tc>
        <w:tc>
          <w:tcPr>
            <w:tcW w:w="992" w:type="dxa"/>
            <w:vAlign w:val="center"/>
          </w:tcPr>
          <w:p>
            <w:pPr>
              <w:spacing w:line="280" w:lineRule="exact"/>
              <w:jc w:val="center"/>
              <w:rPr>
                <w:sz w:val="24"/>
              </w:rPr>
            </w:pPr>
            <w:r>
              <w:rPr>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restart"/>
            <w:vAlign w:val="center"/>
          </w:tcPr>
          <w:p>
            <w:pPr>
              <w:spacing w:line="280" w:lineRule="exact"/>
              <w:jc w:val="center"/>
              <w:rPr>
                <w:sz w:val="24"/>
              </w:rPr>
            </w:pPr>
            <w:r>
              <w:rPr>
                <w:sz w:val="24"/>
              </w:rPr>
              <w:t>就业创业服务</w:t>
            </w:r>
          </w:p>
        </w:tc>
        <w:tc>
          <w:tcPr>
            <w:tcW w:w="709" w:type="dxa"/>
            <w:vAlign w:val="center"/>
          </w:tcPr>
          <w:p>
            <w:pPr>
              <w:spacing w:line="280" w:lineRule="exact"/>
              <w:jc w:val="center"/>
              <w:rPr>
                <w:sz w:val="24"/>
              </w:rPr>
            </w:pPr>
            <w:r>
              <w:rPr>
                <w:sz w:val="24"/>
              </w:rPr>
              <w:t>11</w:t>
            </w:r>
          </w:p>
        </w:tc>
        <w:tc>
          <w:tcPr>
            <w:tcW w:w="5549" w:type="dxa"/>
            <w:gridSpan w:val="2"/>
            <w:vAlign w:val="center"/>
          </w:tcPr>
          <w:p>
            <w:pPr>
              <w:spacing w:line="280" w:lineRule="exact"/>
              <w:rPr>
                <w:sz w:val="24"/>
              </w:rPr>
            </w:pPr>
            <w:r>
              <w:rPr>
                <w:sz w:val="24"/>
              </w:rPr>
              <w:t>居民人均可支配收入增长（%）</w:t>
            </w:r>
          </w:p>
        </w:tc>
        <w:tc>
          <w:tcPr>
            <w:tcW w:w="1051" w:type="dxa"/>
            <w:vAlign w:val="center"/>
          </w:tcPr>
          <w:p>
            <w:pPr>
              <w:spacing w:line="280" w:lineRule="exact"/>
              <w:jc w:val="center"/>
              <w:rPr>
                <w:sz w:val="24"/>
              </w:rPr>
            </w:pPr>
            <w:r>
              <w:rPr>
                <w:sz w:val="24"/>
              </w:rPr>
              <w:t>－</w:t>
            </w:r>
          </w:p>
        </w:tc>
        <w:tc>
          <w:tcPr>
            <w:tcW w:w="992" w:type="dxa"/>
            <w:vAlign w:val="center"/>
          </w:tcPr>
          <w:p>
            <w:pPr>
              <w:spacing w:line="280" w:lineRule="exact"/>
              <w:jc w:val="center"/>
              <w:rPr>
                <w:sz w:val="24"/>
              </w:rPr>
            </w:pPr>
            <w:r>
              <w:rPr>
                <w:rFonts w:hint="eastAsia" w:ascii="仿宋_GB2312"/>
                <w:sz w:val="24"/>
              </w:rPr>
              <w:t>≥</w:t>
            </w:r>
            <w:r>
              <w:rPr>
                <w:sz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12</w:t>
            </w:r>
          </w:p>
        </w:tc>
        <w:tc>
          <w:tcPr>
            <w:tcW w:w="5549" w:type="dxa"/>
            <w:gridSpan w:val="2"/>
            <w:vAlign w:val="center"/>
          </w:tcPr>
          <w:p>
            <w:pPr>
              <w:spacing w:line="280" w:lineRule="exact"/>
              <w:rPr>
                <w:sz w:val="24"/>
              </w:rPr>
            </w:pPr>
            <w:r>
              <w:rPr>
                <w:sz w:val="24"/>
              </w:rPr>
              <w:t>新增城镇就业人数（万人）</w:t>
            </w:r>
          </w:p>
        </w:tc>
        <w:tc>
          <w:tcPr>
            <w:tcW w:w="1051" w:type="dxa"/>
            <w:vAlign w:val="center"/>
          </w:tcPr>
          <w:p>
            <w:pPr>
              <w:spacing w:line="280" w:lineRule="exact"/>
              <w:jc w:val="center"/>
              <w:rPr>
                <w:sz w:val="24"/>
              </w:rPr>
            </w:pPr>
            <w:r>
              <w:rPr>
                <w:sz w:val="24"/>
              </w:rPr>
              <w:t>[91.4]</w:t>
            </w:r>
          </w:p>
        </w:tc>
        <w:tc>
          <w:tcPr>
            <w:tcW w:w="992" w:type="dxa"/>
            <w:vAlign w:val="center"/>
          </w:tcPr>
          <w:p>
            <w:pPr>
              <w:spacing w:line="280" w:lineRule="exact"/>
              <w:jc w:val="center"/>
              <w:rPr>
                <w:sz w:val="24"/>
              </w:rPr>
            </w:pPr>
            <w:r>
              <w:rPr>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13</w:t>
            </w:r>
          </w:p>
        </w:tc>
        <w:tc>
          <w:tcPr>
            <w:tcW w:w="5549" w:type="dxa"/>
            <w:gridSpan w:val="2"/>
            <w:vAlign w:val="center"/>
          </w:tcPr>
          <w:p>
            <w:pPr>
              <w:spacing w:line="280" w:lineRule="exact"/>
              <w:rPr>
                <w:sz w:val="24"/>
              </w:rPr>
            </w:pPr>
            <w:r>
              <w:rPr>
                <w:sz w:val="24"/>
              </w:rPr>
              <w:t>城镇登记失业率（%）</w:t>
            </w:r>
          </w:p>
        </w:tc>
        <w:tc>
          <w:tcPr>
            <w:tcW w:w="1051" w:type="dxa"/>
            <w:vAlign w:val="center"/>
          </w:tcPr>
          <w:p>
            <w:pPr>
              <w:spacing w:line="280" w:lineRule="exact"/>
              <w:jc w:val="center"/>
              <w:rPr>
                <w:sz w:val="24"/>
              </w:rPr>
            </w:pPr>
            <w:r>
              <w:rPr>
                <w:sz w:val="24"/>
              </w:rPr>
              <w:t>1.35</w:t>
            </w:r>
          </w:p>
        </w:tc>
        <w:tc>
          <w:tcPr>
            <w:tcW w:w="992" w:type="dxa"/>
            <w:vAlign w:val="center"/>
          </w:tcPr>
          <w:p>
            <w:pPr>
              <w:spacing w:line="280" w:lineRule="exact"/>
              <w:jc w:val="center"/>
              <w:rPr>
                <w:sz w:val="24"/>
              </w:rPr>
            </w:pPr>
            <w:r>
              <w:rPr>
                <w:rFonts w:hint="eastAsia" w:ascii="仿宋_GB2312"/>
                <w:sz w:val="24"/>
              </w:rPr>
              <w:t>≤</w:t>
            </w:r>
            <w:r>
              <w:rPr>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14</w:t>
            </w:r>
          </w:p>
        </w:tc>
        <w:tc>
          <w:tcPr>
            <w:tcW w:w="5549" w:type="dxa"/>
            <w:gridSpan w:val="2"/>
            <w:vAlign w:val="center"/>
          </w:tcPr>
          <w:p>
            <w:pPr>
              <w:spacing w:line="280" w:lineRule="exact"/>
              <w:rPr>
                <w:sz w:val="24"/>
              </w:rPr>
            </w:pPr>
            <w:r>
              <w:rPr>
                <w:sz w:val="24"/>
              </w:rPr>
              <w:t>职业技能培训（万人）</w:t>
            </w:r>
          </w:p>
        </w:tc>
        <w:tc>
          <w:tcPr>
            <w:tcW w:w="1051" w:type="dxa"/>
            <w:vAlign w:val="center"/>
          </w:tcPr>
          <w:p>
            <w:pPr>
              <w:spacing w:line="280" w:lineRule="exact"/>
              <w:jc w:val="center"/>
              <w:rPr>
                <w:sz w:val="24"/>
              </w:rPr>
            </w:pPr>
            <w:r>
              <w:rPr>
                <w:sz w:val="24"/>
              </w:rPr>
              <w:t>－</w:t>
            </w:r>
          </w:p>
        </w:tc>
        <w:tc>
          <w:tcPr>
            <w:tcW w:w="992" w:type="dxa"/>
            <w:vAlign w:val="center"/>
          </w:tcPr>
          <w:p>
            <w:pPr>
              <w:spacing w:line="280" w:lineRule="exact"/>
              <w:jc w:val="center"/>
              <w:rPr>
                <w:sz w:val="24"/>
              </w:rPr>
            </w:pPr>
            <w:r>
              <w:rPr>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15</w:t>
            </w:r>
          </w:p>
        </w:tc>
        <w:tc>
          <w:tcPr>
            <w:tcW w:w="5549" w:type="dxa"/>
            <w:gridSpan w:val="2"/>
            <w:vAlign w:val="center"/>
          </w:tcPr>
          <w:p>
            <w:pPr>
              <w:spacing w:line="280" w:lineRule="exact"/>
              <w:rPr>
                <w:sz w:val="24"/>
              </w:rPr>
            </w:pPr>
            <w:r>
              <w:rPr>
                <w:sz w:val="24"/>
              </w:rPr>
              <w:t>工伤保险参保人数（万人）</w:t>
            </w:r>
          </w:p>
        </w:tc>
        <w:tc>
          <w:tcPr>
            <w:tcW w:w="1051" w:type="dxa"/>
            <w:vAlign w:val="center"/>
          </w:tcPr>
          <w:p>
            <w:pPr>
              <w:spacing w:line="280" w:lineRule="exact"/>
              <w:jc w:val="center"/>
              <w:rPr>
                <w:sz w:val="24"/>
              </w:rPr>
            </w:pPr>
            <w:r>
              <w:rPr>
                <w:sz w:val="24"/>
              </w:rPr>
              <w:t>－</w:t>
            </w:r>
          </w:p>
        </w:tc>
        <w:tc>
          <w:tcPr>
            <w:tcW w:w="992" w:type="dxa"/>
            <w:vAlign w:val="center"/>
          </w:tcPr>
          <w:p>
            <w:pPr>
              <w:spacing w:line="280" w:lineRule="exact"/>
              <w:jc w:val="center"/>
              <w:rPr>
                <w:sz w:val="24"/>
              </w:rPr>
            </w:pPr>
            <w:r>
              <w:rPr>
                <w:sz w:val="24"/>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16</w:t>
            </w:r>
          </w:p>
        </w:tc>
        <w:tc>
          <w:tcPr>
            <w:tcW w:w="5549" w:type="dxa"/>
            <w:gridSpan w:val="2"/>
            <w:vAlign w:val="center"/>
          </w:tcPr>
          <w:p>
            <w:pPr>
              <w:spacing w:line="280" w:lineRule="exact"/>
              <w:rPr>
                <w:sz w:val="24"/>
              </w:rPr>
            </w:pPr>
            <w:r>
              <w:rPr>
                <w:sz w:val="24"/>
              </w:rPr>
              <w:t>失业保险参保人数（万人）</w:t>
            </w:r>
          </w:p>
        </w:tc>
        <w:tc>
          <w:tcPr>
            <w:tcW w:w="1051" w:type="dxa"/>
            <w:vAlign w:val="center"/>
          </w:tcPr>
          <w:p>
            <w:pPr>
              <w:keepNext/>
              <w:keepLines/>
              <w:spacing w:line="280" w:lineRule="exact"/>
              <w:jc w:val="center"/>
              <w:rPr>
                <w:sz w:val="24"/>
              </w:rPr>
            </w:pPr>
            <w:r>
              <w:rPr>
                <w:sz w:val="24"/>
              </w:rPr>
              <w:t>112.7</w:t>
            </w:r>
          </w:p>
        </w:tc>
        <w:tc>
          <w:tcPr>
            <w:tcW w:w="992" w:type="dxa"/>
            <w:vAlign w:val="center"/>
          </w:tcPr>
          <w:p>
            <w:pPr>
              <w:keepNext/>
              <w:keepLines/>
              <w:spacing w:line="280" w:lineRule="exact"/>
              <w:jc w:val="center"/>
              <w:rPr>
                <w:sz w:val="24"/>
              </w:rPr>
            </w:pPr>
            <w:r>
              <w:rPr>
                <w:sz w:val="24"/>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restart"/>
            <w:vAlign w:val="center"/>
          </w:tcPr>
          <w:p>
            <w:pPr>
              <w:spacing w:line="280" w:lineRule="exact"/>
              <w:jc w:val="center"/>
              <w:rPr>
                <w:sz w:val="24"/>
              </w:rPr>
            </w:pPr>
            <w:r>
              <w:rPr>
                <w:sz w:val="24"/>
              </w:rPr>
              <w:t>医疗卫生服务</w:t>
            </w:r>
          </w:p>
        </w:tc>
        <w:tc>
          <w:tcPr>
            <w:tcW w:w="709" w:type="dxa"/>
            <w:vAlign w:val="center"/>
          </w:tcPr>
          <w:p>
            <w:pPr>
              <w:spacing w:line="280" w:lineRule="exact"/>
              <w:jc w:val="center"/>
              <w:rPr>
                <w:sz w:val="24"/>
              </w:rPr>
            </w:pPr>
            <w:r>
              <w:rPr>
                <w:sz w:val="24"/>
              </w:rPr>
              <w:t>17</w:t>
            </w:r>
          </w:p>
        </w:tc>
        <w:tc>
          <w:tcPr>
            <w:tcW w:w="5549" w:type="dxa"/>
            <w:gridSpan w:val="2"/>
            <w:vAlign w:val="center"/>
          </w:tcPr>
          <w:p>
            <w:pPr>
              <w:spacing w:line="280" w:lineRule="exact"/>
              <w:rPr>
                <w:sz w:val="24"/>
              </w:rPr>
            </w:pPr>
            <w:r>
              <w:rPr>
                <w:sz w:val="24"/>
              </w:rPr>
              <w:t>*每千人口拥有医疗机构床位数（张）</w:t>
            </w:r>
          </w:p>
        </w:tc>
        <w:tc>
          <w:tcPr>
            <w:tcW w:w="1051" w:type="dxa"/>
            <w:vAlign w:val="center"/>
          </w:tcPr>
          <w:p>
            <w:pPr>
              <w:spacing w:line="280" w:lineRule="exact"/>
              <w:jc w:val="center"/>
              <w:rPr>
                <w:sz w:val="24"/>
              </w:rPr>
            </w:pPr>
            <w:r>
              <w:rPr>
                <w:sz w:val="24"/>
              </w:rPr>
              <w:t>4.77</w:t>
            </w:r>
          </w:p>
        </w:tc>
        <w:tc>
          <w:tcPr>
            <w:tcW w:w="992" w:type="dxa"/>
            <w:vAlign w:val="center"/>
          </w:tcPr>
          <w:p>
            <w:pPr>
              <w:spacing w:line="280" w:lineRule="exact"/>
              <w:jc w:val="center"/>
              <w:rPr>
                <w:sz w:val="24"/>
              </w:rPr>
            </w:pPr>
            <w:r>
              <w:rPr>
                <w:sz w:val="24"/>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18</w:t>
            </w:r>
          </w:p>
        </w:tc>
        <w:tc>
          <w:tcPr>
            <w:tcW w:w="5549" w:type="dxa"/>
            <w:gridSpan w:val="2"/>
            <w:vAlign w:val="center"/>
          </w:tcPr>
          <w:p>
            <w:pPr>
              <w:spacing w:line="280" w:lineRule="exact"/>
              <w:rPr>
                <w:sz w:val="24"/>
              </w:rPr>
            </w:pPr>
            <w:r>
              <w:rPr>
                <w:sz w:val="24"/>
              </w:rPr>
              <w:t>*每千人口拥有执业（助理）医师数（常住人口）（人）</w:t>
            </w:r>
          </w:p>
        </w:tc>
        <w:tc>
          <w:tcPr>
            <w:tcW w:w="1051" w:type="dxa"/>
            <w:vAlign w:val="center"/>
          </w:tcPr>
          <w:p>
            <w:pPr>
              <w:spacing w:line="280" w:lineRule="exact"/>
              <w:jc w:val="center"/>
              <w:rPr>
                <w:sz w:val="24"/>
              </w:rPr>
            </w:pPr>
            <w:r>
              <w:rPr>
                <w:sz w:val="24"/>
              </w:rPr>
              <w:t>3.03</w:t>
            </w:r>
          </w:p>
        </w:tc>
        <w:tc>
          <w:tcPr>
            <w:tcW w:w="992" w:type="dxa"/>
            <w:vAlign w:val="center"/>
          </w:tcPr>
          <w:p>
            <w:pPr>
              <w:spacing w:line="280" w:lineRule="exact"/>
              <w:jc w:val="center"/>
              <w:rPr>
                <w:sz w:val="24"/>
              </w:rPr>
            </w:pPr>
            <w:r>
              <w:rPr>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19</w:t>
            </w:r>
          </w:p>
        </w:tc>
        <w:tc>
          <w:tcPr>
            <w:tcW w:w="5549" w:type="dxa"/>
            <w:gridSpan w:val="2"/>
            <w:vAlign w:val="center"/>
          </w:tcPr>
          <w:p>
            <w:pPr>
              <w:spacing w:line="280" w:lineRule="exact"/>
              <w:rPr>
                <w:sz w:val="24"/>
              </w:rPr>
            </w:pPr>
            <w:r>
              <w:rPr>
                <w:sz w:val="24"/>
              </w:rPr>
              <w:t>*每千人注册护士数（人）</w:t>
            </w:r>
          </w:p>
        </w:tc>
        <w:tc>
          <w:tcPr>
            <w:tcW w:w="1051" w:type="dxa"/>
            <w:vAlign w:val="center"/>
          </w:tcPr>
          <w:p>
            <w:pPr>
              <w:spacing w:line="280" w:lineRule="exact"/>
              <w:jc w:val="center"/>
              <w:rPr>
                <w:sz w:val="24"/>
              </w:rPr>
            </w:pPr>
            <w:r>
              <w:rPr>
                <w:sz w:val="24"/>
              </w:rPr>
              <w:t>3.18</w:t>
            </w:r>
          </w:p>
        </w:tc>
        <w:tc>
          <w:tcPr>
            <w:tcW w:w="992" w:type="dxa"/>
            <w:vAlign w:val="center"/>
          </w:tcPr>
          <w:p>
            <w:pPr>
              <w:keepNext/>
              <w:keepLines/>
              <w:spacing w:line="280" w:lineRule="exact"/>
              <w:jc w:val="center"/>
              <w:outlineLvl w:val="0"/>
              <w:rPr>
                <w:sz w:val="24"/>
              </w:rPr>
            </w:pPr>
            <w:r>
              <w:rPr>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20</w:t>
            </w:r>
          </w:p>
        </w:tc>
        <w:tc>
          <w:tcPr>
            <w:tcW w:w="5549" w:type="dxa"/>
            <w:gridSpan w:val="2"/>
            <w:vAlign w:val="center"/>
          </w:tcPr>
          <w:p>
            <w:pPr>
              <w:spacing w:line="280" w:lineRule="exact"/>
              <w:rPr>
                <w:sz w:val="24"/>
              </w:rPr>
            </w:pPr>
            <w:r>
              <w:rPr>
                <w:sz w:val="24"/>
              </w:rPr>
              <w:t>重大慢病过早死亡率（%）</w:t>
            </w:r>
          </w:p>
        </w:tc>
        <w:tc>
          <w:tcPr>
            <w:tcW w:w="1051" w:type="dxa"/>
            <w:vAlign w:val="center"/>
          </w:tcPr>
          <w:p>
            <w:pPr>
              <w:spacing w:line="280" w:lineRule="exact"/>
              <w:jc w:val="center"/>
              <w:rPr>
                <w:sz w:val="24"/>
              </w:rPr>
            </w:pPr>
            <w:r>
              <w:rPr>
                <w:sz w:val="24"/>
              </w:rPr>
              <w:t>9.47</w:t>
            </w:r>
          </w:p>
        </w:tc>
        <w:tc>
          <w:tcPr>
            <w:tcW w:w="992" w:type="dxa"/>
            <w:vAlign w:val="center"/>
          </w:tcPr>
          <w:p>
            <w:pPr>
              <w:spacing w:line="280" w:lineRule="exact"/>
              <w:jc w:val="center"/>
              <w:rPr>
                <w:sz w:val="24"/>
              </w:rPr>
            </w:pPr>
            <w:r>
              <w:rPr>
                <w:sz w:val="24"/>
              </w:rPr>
              <w:t>&lt;8.5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21</w:t>
            </w:r>
          </w:p>
        </w:tc>
        <w:tc>
          <w:tcPr>
            <w:tcW w:w="5549" w:type="dxa"/>
            <w:gridSpan w:val="2"/>
            <w:vAlign w:val="center"/>
          </w:tcPr>
          <w:p>
            <w:pPr>
              <w:spacing w:line="280" w:lineRule="exact"/>
              <w:rPr>
                <w:sz w:val="24"/>
              </w:rPr>
            </w:pPr>
            <w:r>
              <w:rPr>
                <w:sz w:val="24"/>
              </w:rPr>
              <w:t>传染病收治能力（床/万人口）</w:t>
            </w:r>
          </w:p>
        </w:tc>
        <w:tc>
          <w:tcPr>
            <w:tcW w:w="1051" w:type="dxa"/>
            <w:vAlign w:val="center"/>
          </w:tcPr>
          <w:p>
            <w:pPr>
              <w:spacing w:line="280" w:lineRule="exact"/>
              <w:jc w:val="center"/>
              <w:rPr>
                <w:sz w:val="24"/>
              </w:rPr>
            </w:pPr>
            <w:r>
              <w:rPr>
                <w:sz w:val="24"/>
              </w:rPr>
              <w:t>－</w:t>
            </w:r>
          </w:p>
        </w:tc>
        <w:tc>
          <w:tcPr>
            <w:tcW w:w="992" w:type="dxa"/>
            <w:vAlign w:val="center"/>
          </w:tcPr>
          <w:p>
            <w:pPr>
              <w:spacing w:line="280" w:lineRule="exact"/>
              <w:jc w:val="center"/>
              <w:rPr>
                <w:sz w:val="24"/>
              </w:rPr>
            </w:pPr>
            <w:r>
              <w:rPr>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22</w:t>
            </w:r>
          </w:p>
        </w:tc>
        <w:tc>
          <w:tcPr>
            <w:tcW w:w="5549" w:type="dxa"/>
            <w:gridSpan w:val="2"/>
            <w:vAlign w:val="center"/>
          </w:tcPr>
          <w:p>
            <w:pPr>
              <w:spacing w:line="280" w:lineRule="exact"/>
              <w:rPr>
                <w:sz w:val="24"/>
              </w:rPr>
            </w:pPr>
            <w:r>
              <w:rPr>
                <w:sz w:val="24"/>
              </w:rPr>
              <w:t>*人均预期寿命（岁）</w:t>
            </w:r>
          </w:p>
        </w:tc>
        <w:tc>
          <w:tcPr>
            <w:tcW w:w="1051" w:type="dxa"/>
            <w:vAlign w:val="center"/>
          </w:tcPr>
          <w:p>
            <w:pPr>
              <w:spacing w:line="280" w:lineRule="exact"/>
              <w:jc w:val="center"/>
              <w:rPr>
                <w:sz w:val="24"/>
              </w:rPr>
            </w:pPr>
            <w:r>
              <w:rPr>
                <w:sz w:val="24"/>
              </w:rPr>
              <w:t>81.33</w:t>
            </w:r>
          </w:p>
        </w:tc>
        <w:tc>
          <w:tcPr>
            <w:tcW w:w="992" w:type="dxa"/>
            <w:vAlign w:val="center"/>
          </w:tcPr>
          <w:p>
            <w:pPr>
              <w:spacing w:line="280" w:lineRule="exact"/>
              <w:jc w:val="center"/>
              <w:rPr>
                <w:sz w:val="24"/>
              </w:rPr>
            </w:pPr>
            <w:r>
              <w:rPr>
                <w:sz w:val="24"/>
              </w:rPr>
              <w:t>&gt;82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23</w:t>
            </w:r>
          </w:p>
        </w:tc>
        <w:tc>
          <w:tcPr>
            <w:tcW w:w="5549" w:type="dxa"/>
            <w:gridSpan w:val="2"/>
            <w:vAlign w:val="center"/>
          </w:tcPr>
          <w:p>
            <w:pPr>
              <w:spacing w:line="280" w:lineRule="exact"/>
              <w:rPr>
                <w:sz w:val="24"/>
              </w:rPr>
            </w:pPr>
            <w:r>
              <w:rPr>
                <w:sz w:val="24"/>
              </w:rPr>
              <w:t>县域就诊率（%）</w:t>
            </w:r>
          </w:p>
        </w:tc>
        <w:tc>
          <w:tcPr>
            <w:tcW w:w="1051" w:type="dxa"/>
            <w:vAlign w:val="center"/>
          </w:tcPr>
          <w:p>
            <w:pPr>
              <w:spacing w:line="280" w:lineRule="exact"/>
              <w:jc w:val="center"/>
              <w:rPr>
                <w:sz w:val="24"/>
              </w:rPr>
            </w:pPr>
            <w:r>
              <w:rPr>
                <w:sz w:val="24"/>
              </w:rPr>
              <w:t>91.03</w:t>
            </w:r>
          </w:p>
        </w:tc>
        <w:tc>
          <w:tcPr>
            <w:tcW w:w="992" w:type="dxa"/>
            <w:vAlign w:val="center"/>
          </w:tcPr>
          <w:p>
            <w:pPr>
              <w:spacing w:line="280" w:lineRule="exact"/>
              <w:jc w:val="center"/>
              <w:rPr>
                <w:sz w:val="24"/>
              </w:rPr>
            </w:pPr>
            <w:r>
              <w:rPr>
                <w:sz w:val="24"/>
              </w:rPr>
              <w:t>&gt;90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24</w:t>
            </w:r>
          </w:p>
        </w:tc>
        <w:tc>
          <w:tcPr>
            <w:tcW w:w="5549" w:type="dxa"/>
            <w:gridSpan w:val="2"/>
            <w:vAlign w:val="center"/>
          </w:tcPr>
          <w:p>
            <w:pPr>
              <w:spacing w:line="280" w:lineRule="exact"/>
              <w:rPr>
                <w:sz w:val="24"/>
              </w:rPr>
            </w:pPr>
            <w:r>
              <w:rPr>
                <w:sz w:val="24"/>
              </w:rPr>
              <w:t>基本医疗保险参保率（%）</w:t>
            </w:r>
          </w:p>
        </w:tc>
        <w:tc>
          <w:tcPr>
            <w:tcW w:w="1051" w:type="dxa"/>
            <w:vAlign w:val="center"/>
          </w:tcPr>
          <w:p>
            <w:pPr>
              <w:keepNext/>
              <w:keepLines/>
              <w:spacing w:line="280" w:lineRule="exact"/>
              <w:jc w:val="center"/>
              <w:rPr>
                <w:sz w:val="24"/>
              </w:rPr>
            </w:pPr>
            <w:r>
              <w:rPr>
                <w:sz w:val="24"/>
              </w:rPr>
              <w:t>&gt;99</w:t>
            </w:r>
          </w:p>
        </w:tc>
        <w:tc>
          <w:tcPr>
            <w:tcW w:w="992" w:type="dxa"/>
            <w:vAlign w:val="center"/>
          </w:tcPr>
          <w:p>
            <w:pPr>
              <w:keepNext/>
              <w:keepLines/>
              <w:spacing w:line="280" w:lineRule="exact"/>
              <w:jc w:val="center"/>
              <w:rPr>
                <w:sz w:val="24"/>
              </w:rPr>
            </w:pPr>
            <w:r>
              <w:rPr>
                <w:sz w:val="24"/>
              </w:rPr>
              <w:t>&gt;99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25</w:t>
            </w:r>
          </w:p>
        </w:tc>
        <w:tc>
          <w:tcPr>
            <w:tcW w:w="5549" w:type="dxa"/>
            <w:gridSpan w:val="2"/>
            <w:vAlign w:val="center"/>
          </w:tcPr>
          <w:p>
            <w:pPr>
              <w:spacing w:line="280" w:lineRule="exact"/>
              <w:rPr>
                <w:sz w:val="24"/>
              </w:rPr>
            </w:pPr>
            <w:r>
              <w:rPr>
                <w:sz w:val="24"/>
              </w:rPr>
              <w:t>儿童青少年总体近视率降低（%）</w:t>
            </w:r>
          </w:p>
        </w:tc>
        <w:tc>
          <w:tcPr>
            <w:tcW w:w="1051" w:type="dxa"/>
            <w:vAlign w:val="center"/>
          </w:tcPr>
          <w:p>
            <w:pPr>
              <w:spacing w:line="280" w:lineRule="exact"/>
              <w:jc w:val="center"/>
              <w:rPr>
                <w:sz w:val="24"/>
              </w:rPr>
            </w:pPr>
            <w:r>
              <w:rPr>
                <w:sz w:val="24"/>
              </w:rPr>
              <w:t>－</w:t>
            </w:r>
          </w:p>
        </w:tc>
        <w:tc>
          <w:tcPr>
            <w:tcW w:w="992" w:type="dxa"/>
            <w:vAlign w:val="center"/>
          </w:tcPr>
          <w:p>
            <w:pPr>
              <w:spacing w:line="280" w:lineRule="exact"/>
              <w:jc w:val="center"/>
              <w:rPr>
                <w:sz w:val="24"/>
              </w:rPr>
            </w:pPr>
            <w:r>
              <w:rPr>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restart"/>
            <w:vAlign w:val="center"/>
          </w:tcPr>
          <w:p>
            <w:pPr>
              <w:spacing w:line="280" w:lineRule="exact"/>
              <w:jc w:val="center"/>
              <w:rPr>
                <w:sz w:val="24"/>
              </w:rPr>
            </w:pPr>
            <w:r>
              <w:rPr>
                <w:sz w:val="24"/>
              </w:rPr>
              <w:t>公共文体服务</w:t>
            </w:r>
          </w:p>
        </w:tc>
        <w:tc>
          <w:tcPr>
            <w:tcW w:w="709" w:type="dxa"/>
            <w:vAlign w:val="center"/>
          </w:tcPr>
          <w:p>
            <w:pPr>
              <w:spacing w:line="280" w:lineRule="exact"/>
              <w:jc w:val="center"/>
              <w:rPr>
                <w:sz w:val="24"/>
              </w:rPr>
            </w:pPr>
            <w:r>
              <w:rPr>
                <w:sz w:val="24"/>
              </w:rPr>
              <w:t>26</w:t>
            </w:r>
          </w:p>
        </w:tc>
        <w:tc>
          <w:tcPr>
            <w:tcW w:w="5549" w:type="dxa"/>
            <w:gridSpan w:val="2"/>
            <w:vAlign w:val="center"/>
          </w:tcPr>
          <w:p>
            <w:pPr>
              <w:spacing w:line="280" w:lineRule="exact"/>
              <w:rPr>
                <w:sz w:val="24"/>
              </w:rPr>
            </w:pPr>
            <w:r>
              <w:rPr>
                <w:sz w:val="24"/>
              </w:rPr>
              <w:t>文化及相关产业增加值（亿元）</w:t>
            </w:r>
          </w:p>
        </w:tc>
        <w:tc>
          <w:tcPr>
            <w:tcW w:w="1051" w:type="dxa"/>
            <w:vAlign w:val="center"/>
          </w:tcPr>
          <w:p>
            <w:pPr>
              <w:spacing w:line="280" w:lineRule="exact"/>
              <w:jc w:val="center"/>
              <w:rPr>
                <w:sz w:val="24"/>
              </w:rPr>
            </w:pPr>
            <w:r>
              <w:rPr>
                <w:sz w:val="24"/>
              </w:rPr>
              <w:t>231</w:t>
            </w:r>
          </w:p>
        </w:tc>
        <w:tc>
          <w:tcPr>
            <w:tcW w:w="992" w:type="dxa"/>
            <w:vAlign w:val="center"/>
          </w:tcPr>
          <w:p>
            <w:pPr>
              <w:spacing w:line="280" w:lineRule="exact"/>
              <w:jc w:val="center"/>
              <w:rPr>
                <w:sz w:val="24"/>
              </w:rPr>
            </w:pPr>
            <w:r>
              <w:rPr>
                <w:sz w:val="24"/>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27</w:t>
            </w:r>
          </w:p>
        </w:tc>
        <w:tc>
          <w:tcPr>
            <w:tcW w:w="5549" w:type="dxa"/>
            <w:gridSpan w:val="2"/>
            <w:vAlign w:val="center"/>
          </w:tcPr>
          <w:p>
            <w:pPr>
              <w:spacing w:line="280" w:lineRule="exact"/>
              <w:rPr>
                <w:sz w:val="24"/>
              </w:rPr>
            </w:pPr>
            <w:r>
              <w:rPr>
                <w:sz w:val="24"/>
              </w:rPr>
              <w:t>居民综合阅读率（%）</w:t>
            </w:r>
          </w:p>
        </w:tc>
        <w:tc>
          <w:tcPr>
            <w:tcW w:w="1051" w:type="dxa"/>
            <w:vAlign w:val="center"/>
          </w:tcPr>
          <w:p>
            <w:pPr>
              <w:spacing w:line="280" w:lineRule="exact"/>
              <w:jc w:val="center"/>
              <w:rPr>
                <w:sz w:val="24"/>
              </w:rPr>
            </w:pPr>
            <w:r>
              <w:rPr>
                <w:sz w:val="24"/>
              </w:rPr>
              <w:t>89.1</w:t>
            </w:r>
          </w:p>
        </w:tc>
        <w:tc>
          <w:tcPr>
            <w:tcW w:w="992" w:type="dxa"/>
            <w:vAlign w:val="center"/>
          </w:tcPr>
          <w:p>
            <w:pPr>
              <w:spacing w:line="280" w:lineRule="exact"/>
              <w:jc w:val="center"/>
              <w:rPr>
                <w:sz w:val="24"/>
              </w:rPr>
            </w:pPr>
            <w:r>
              <w:rPr>
                <w:sz w:val="24"/>
              </w:rPr>
              <w:t>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28</w:t>
            </w:r>
          </w:p>
        </w:tc>
        <w:tc>
          <w:tcPr>
            <w:tcW w:w="5549" w:type="dxa"/>
            <w:gridSpan w:val="2"/>
            <w:vAlign w:val="center"/>
          </w:tcPr>
          <w:p>
            <w:pPr>
              <w:spacing w:line="280" w:lineRule="exact"/>
              <w:rPr>
                <w:sz w:val="24"/>
              </w:rPr>
            </w:pPr>
            <w:r>
              <w:rPr>
                <w:sz w:val="24"/>
              </w:rPr>
              <w:t>每万人拥有公共文化设施面积（平方米）</w:t>
            </w:r>
          </w:p>
        </w:tc>
        <w:tc>
          <w:tcPr>
            <w:tcW w:w="1051" w:type="dxa"/>
            <w:vAlign w:val="center"/>
          </w:tcPr>
          <w:p>
            <w:pPr>
              <w:spacing w:line="280" w:lineRule="exact"/>
              <w:jc w:val="center"/>
              <w:rPr>
                <w:sz w:val="24"/>
              </w:rPr>
            </w:pPr>
            <w:r>
              <w:rPr>
                <w:sz w:val="24"/>
              </w:rPr>
              <w:t>3440</w:t>
            </w:r>
          </w:p>
        </w:tc>
        <w:tc>
          <w:tcPr>
            <w:tcW w:w="992" w:type="dxa"/>
            <w:vAlign w:val="center"/>
          </w:tcPr>
          <w:p>
            <w:pPr>
              <w:spacing w:line="280" w:lineRule="exact"/>
              <w:jc w:val="center"/>
              <w:rPr>
                <w:sz w:val="24"/>
              </w:rPr>
            </w:pPr>
            <w:r>
              <w:rPr>
                <w:sz w:val="24"/>
              </w:rPr>
              <w:t>4360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29</w:t>
            </w:r>
          </w:p>
        </w:tc>
        <w:tc>
          <w:tcPr>
            <w:tcW w:w="5549" w:type="dxa"/>
            <w:gridSpan w:val="2"/>
            <w:vAlign w:val="center"/>
          </w:tcPr>
          <w:p>
            <w:pPr>
              <w:widowControl/>
              <w:spacing w:line="280" w:lineRule="exact"/>
              <w:jc w:val="left"/>
              <w:rPr>
                <w:sz w:val="24"/>
              </w:rPr>
            </w:pPr>
            <w:r>
              <w:rPr>
                <w:sz w:val="24"/>
              </w:rPr>
              <w:t>*人均体育场地面积（平方米）</w:t>
            </w:r>
          </w:p>
        </w:tc>
        <w:tc>
          <w:tcPr>
            <w:tcW w:w="1051" w:type="dxa"/>
            <w:vAlign w:val="center"/>
          </w:tcPr>
          <w:p>
            <w:pPr>
              <w:spacing w:line="280" w:lineRule="exact"/>
              <w:jc w:val="center"/>
              <w:rPr>
                <w:sz w:val="24"/>
              </w:rPr>
            </w:pPr>
            <w:r>
              <w:rPr>
                <w:rFonts w:hint="eastAsia"/>
                <w:sz w:val="24"/>
              </w:rPr>
              <w:t>2.12</w:t>
            </w:r>
          </w:p>
        </w:tc>
        <w:tc>
          <w:tcPr>
            <w:tcW w:w="992" w:type="dxa"/>
            <w:vAlign w:val="center"/>
          </w:tcPr>
          <w:p>
            <w:pPr>
              <w:spacing w:line="280" w:lineRule="exact"/>
              <w:jc w:val="center"/>
              <w:rPr>
                <w:sz w:val="24"/>
              </w:rPr>
            </w:pPr>
            <w:r>
              <w:rPr>
                <w:sz w:val="24"/>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30</w:t>
            </w:r>
          </w:p>
        </w:tc>
        <w:tc>
          <w:tcPr>
            <w:tcW w:w="5549" w:type="dxa"/>
            <w:gridSpan w:val="2"/>
            <w:vAlign w:val="center"/>
          </w:tcPr>
          <w:p>
            <w:pPr>
              <w:widowControl/>
              <w:spacing w:line="280" w:lineRule="exact"/>
              <w:jc w:val="left"/>
              <w:rPr>
                <w:sz w:val="24"/>
              </w:rPr>
            </w:pPr>
            <w:r>
              <w:rPr>
                <w:sz w:val="24"/>
              </w:rPr>
              <w:t>国民体质合格率（%）</w:t>
            </w:r>
          </w:p>
        </w:tc>
        <w:tc>
          <w:tcPr>
            <w:tcW w:w="1051" w:type="dxa"/>
            <w:vAlign w:val="center"/>
          </w:tcPr>
          <w:p>
            <w:pPr>
              <w:spacing w:line="280" w:lineRule="exact"/>
              <w:jc w:val="center"/>
              <w:rPr>
                <w:sz w:val="24"/>
              </w:rPr>
            </w:pPr>
            <w:r>
              <w:rPr>
                <w:sz w:val="24"/>
              </w:rPr>
              <w:t>93.5</w:t>
            </w:r>
          </w:p>
        </w:tc>
        <w:tc>
          <w:tcPr>
            <w:tcW w:w="992" w:type="dxa"/>
            <w:vAlign w:val="center"/>
          </w:tcPr>
          <w:p>
            <w:pPr>
              <w:spacing w:line="280" w:lineRule="exact"/>
              <w:jc w:val="center"/>
              <w:rPr>
                <w:sz w:val="24"/>
              </w:rPr>
            </w:pPr>
            <w:r>
              <w:rPr>
                <w:sz w:val="24"/>
              </w:rPr>
              <w:t>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31</w:t>
            </w:r>
          </w:p>
        </w:tc>
        <w:tc>
          <w:tcPr>
            <w:tcW w:w="5549" w:type="dxa"/>
            <w:gridSpan w:val="2"/>
            <w:vAlign w:val="center"/>
          </w:tcPr>
          <w:p>
            <w:pPr>
              <w:widowControl/>
              <w:spacing w:line="280" w:lineRule="exact"/>
              <w:jc w:val="left"/>
              <w:rPr>
                <w:sz w:val="24"/>
              </w:rPr>
            </w:pPr>
            <w:r>
              <w:rPr>
                <w:sz w:val="24"/>
              </w:rPr>
              <w:t>体育产业增加值占GDP比重（%）</w:t>
            </w:r>
          </w:p>
        </w:tc>
        <w:tc>
          <w:tcPr>
            <w:tcW w:w="1051" w:type="dxa"/>
            <w:vAlign w:val="center"/>
          </w:tcPr>
          <w:p>
            <w:pPr>
              <w:spacing w:line="280" w:lineRule="exact"/>
              <w:jc w:val="center"/>
              <w:rPr>
                <w:sz w:val="24"/>
              </w:rPr>
            </w:pPr>
            <w:r>
              <w:rPr>
                <w:sz w:val="24"/>
              </w:rPr>
              <w:t>1</w:t>
            </w:r>
            <w:r>
              <w:rPr>
                <w:sz w:val="24"/>
                <w:vertAlign w:val="superscript"/>
              </w:rPr>
              <w:t>*</w:t>
            </w:r>
          </w:p>
        </w:tc>
        <w:tc>
          <w:tcPr>
            <w:tcW w:w="992" w:type="dxa"/>
            <w:vAlign w:val="center"/>
          </w:tcPr>
          <w:p>
            <w:pPr>
              <w:spacing w:line="280" w:lineRule="exact"/>
              <w:jc w:val="center"/>
              <w:rPr>
                <w:sz w:val="24"/>
              </w:rPr>
            </w:pPr>
            <w:r>
              <w:rPr>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restart"/>
            <w:vAlign w:val="center"/>
          </w:tcPr>
          <w:p>
            <w:pPr>
              <w:spacing w:line="280" w:lineRule="exact"/>
              <w:jc w:val="center"/>
              <w:rPr>
                <w:sz w:val="24"/>
              </w:rPr>
            </w:pPr>
            <w:r>
              <w:rPr>
                <w:sz w:val="24"/>
              </w:rPr>
              <w:t>宜居生活服务</w:t>
            </w:r>
          </w:p>
          <w:p>
            <w:pPr>
              <w:spacing w:line="280" w:lineRule="exact"/>
              <w:jc w:val="center"/>
              <w:rPr>
                <w:sz w:val="24"/>
              </w:rPr>
            </w:pPr>
          </w:p>
        </w:tc>
        <w:tc>
          <w:tcPr>
            <w:tcW w:w="709" w:type="dxa"/>
            <w:vAlign w:val="center"/>
          </w:tcPr>
          <w:p>
            <w:pPr>
              <w:spacing w:line="280" w:lineRule="exact"/>
              <w:jc w:val="center"/>
              <w:rPr>
                <w:sz w:val="24"/>
              </w:rPr>
            </w:pPr>
            <w:r>
              <w:rPr>
                <w:sz w:val="24"/>
              </w:rPr>
              <w:t>32</w:t>
            </w:r>
          </w:p>
        </w:tc>
        <w:tc>
          <w:tcPr>
            <w:tcW w:w="5549" w:type="dxa"/>
            <w:gridSpan w:val="2"/>
            <w:vAlign w:val="center"/>
          </w:tcPr>
          <w:p>
            <w:pPr>
              <w:spacing w:line="280" w:lineRule="exact"/>
              <w:rPr>
                <w:sz w:val="24"/>
              </w:rPr>
            </w:pPr>
            <w:r>
              <w:rPr>
                <w:sz w:val="24"/>
              </w:rPr>
              <w:t>城镇住房保障受益覆盖率（%）</w:t>
            </w:r>
          </w:p>
        </w:tc>
        <w:tc>
          <w:tcPr>
            <w:tcW w:w="1051" w:type="dxa"/>
            <w:vAlign w:val="center"/>
          </w:tcPr>
          <w:p>
            <w:pPr>
              <w:spacing w:line="280" w:lineRule="exact"/>
              <w:jc w:val="center"/>
              <w:rPr>
                <w:sz w:val="24"/>
              </w:rPr>
            </w:pPr>
            <w:r>
              <w:rPr>
                <w:sz w:val="24"/>
              </w:rPr>
              <w:t>23.75</w:t>
            </w:r>
          </w:p>
        </w:tc>
        <w:tc>
          <w:tcPr>
            <w:tcW w:w="992" w:type="dxa"/>
            <w:vAlign w:val="center"/>
          </w:tcPr>
          <w:p>
            <w:pPr>
              <w:spacing w:line="280" w:lineRule="exact"/>
              <w:jc w:val="center"/>
              <w:rPr>
                <w:sz w:val="24"/>
              </w:rPr>
            </w:pPr>
            <w:r>
              <w:rPr>
                <w:sz w:val="24"/>
              </w:rPr>
              <w:t>23</w:t>
            </w:r>
            <w:r>
              <w:rPr>
                <w:sz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33</w:t>
            </w:r>
          </w:p>
        </w:tc>
        <w:tc>
          <w:tcPr>
            <w:tcW w:w="5549" w:type="dxa"/>
            <w:gridSpan w:val="2"/>
            <w:vAlign w:val="center"/>
          </w:tcPr>
          <w:p>
            <w:pPr>
              <w:widowControl/>
              <w:spacing w:line="280" w:lineRule="exact"/>
              <w:jc w:val="left"/>
              <w:rPr>
                <w:sz w:val="24"/>
              </w:rPr>
            </w:pPr>
            <w:r>
              <w:rPr>
                <w:sz w:val="24"/>
              </w:rPr>
              <w:t>城镇老旧小区改造数量（个）</w:t>
            </w:r>
          </w:p>
        </w:tc>
        <w:tc>
          <w:tcPr>
            <w:tcW w:w="1051" w:type="dxa"/>
            <w:vAlign w:val="center"/>
          </w:tcPr>
          <w:p>
            <w:pPr>
              <w:spacing w:line="280" w:lineRule="exact"/>
              <w:jc w:val="center"/>
              <w:rPr>
                <w:sz w:val="24"/>
              </w:rPr>
            </w:pPr>
            <w:r>
              <w:rPr>
                <w:rFonts w:hint="eastAsia" w:ascii="仿宋_GB2312"/>
                <w:sz w:val="24"/>
              </w:rPr>
              <w:t>≥</w:t>
            </w:r>
            <w:r>
              <w:rPr>
                <w:sz w:val="24"/>
              </w:rPr>
              <w:t>45</w:t>
            </w:r>
          </w:p>
        </w:tc>
        <w:tc>
          <w:tcPr>
            <w:tcW w:w="992" w:type="dxa"/>
            <w:vAlign w:val="center"/>
          </w:tcPr>
          <w:p>
            <w:pPr>
              <w:spacing w:line="280" w:lineRule="exact"/>
              <w:jc w:val="center"/>
              <w:rPr>
                <w:sz w:val="24"/>
              </w:rPr>
            </w:pPr>
            <w:r>
              <w:rPr>
                <w:rFonts w:hint="eastAsia" w:ascii="仿宋_GB2312"/>
                <w:sz w:val="24"/>
              </w:rPr>
              <w:t>≥</w:t>
            </w:r>
            <w:r>
              <w:rPr>
                <w:sz w:val="24"/>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34</w:t>
            </w:r>
          </w:p>
        </w:tc>
        <w:tc>
          <w:tcPr>
            <w:tcW w:w="5549" w:type="dxa"/>
            <w:gridSpan w:val="2"/>
            <w:vAlign w:val="center"/>
          </w:tcPr>
          <w:p>
            <w:pPr>
              <w:widowControl/>
              <w:spacing w:line="280" w:lineRule="exact"/>
              <w:jc w:val="left"/>
              <w:rPr>
                <w:sz w:val="24"/>
              </w:rPr>
            </w:pPr>
            <w:r>
              <w:rPr>
                <w:sz w:val="24"/>
              </w:rPr>
              <w:t>城市空气质量优良天数比率（%）</w:t>
            </w:r>
          </w:p>
        </w:tc>
        <w:tc>
          <w:tcPr>
            <w:tcW w:w="1051" w:type="dxa"/>
            <w:vAlign w:val="center"/>
          </w:tcPr>
          <w:p>
            <w:pPr>
              <w:spacing w:line="280" w:lineRule="exact"/>
              <w:jc w:val="center"/>
              <w:rPr>
                <w:sz w:val="24"/>
              </w:rPr>
            </w:pPr>
            <w:r>
              <w:rPr>
                <w:sz w:val="24"/>
              </w:rPr>
              <w:t>94.5</w:t>
            </w:r>
          </w:p>
        </w:tc>
        <w:tc>
          <w:tcPr>
            <w:tcW w:w="992" w:type="dxa"/>
            <w:vAlign w:val="center"/>
          </w:tcPr>
          <w:p>
            <w:pPr>
              <w:spacing w:line="280" w:lineRule="exact"/>
              <w:jc w:val="center"/>
              <w:rPr>
                <w:sz w:val="24"/>
              </w:rPr>
            </w:pPr>
            <w:r>
              <w:rPr>
                <w:sz w:val="24"/>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35</w:t>
            </w:r>
          </w:p>
        </w:tc>
        <w:tc>
          <w:tcPr>
            <w:tcW w:w="5549" w:type="dxa"/>
            <w:gridSpan w:val="2"/>
            <w:vAlign w:val="center"/>
          </w:tcPr>
          <w:p>
            <w:pPr>
              <w:spacing w:line="280" w:lineRule="exact"/>
              <w:rPr>
                <w:sz w:val="24"/>
              </w:rPr>
            </w:pPr>
            <w:r>
              <w:rPr>
                <w:sz w:val="24"/>
              </w:rPr>
              <w:t>城市细颗粒物（PM</w:t>
            </w:r>
            <w:r>
              <w:rPr>
                <w:sz w:val="24"/>
                <w:vertAlign w:val="subscript"/>
              </w:rPr>
              <w:t>2.5</w:t>
            </w:r>
            <w:r>
              <w:rPr>
                <w:sz w:val="24"/>
              </w:rPr>
              <w:t>）平均浓度（微克/立方米）</w:t>
            </w:r>
          </w:p>
        </w:tc>
        <w:tc>
          <w:tcPr>
            <w:tcW w:w="1051" w:type="dxa"/>
            <w:vAlign w:val="center"/>
          </w:tcPr>
          <w:p>
            <w:pPr>
              <w:spacing w:line="280" w:lineRule="exact"/>
              <w:jc w:val="center"/>
              <w:rPr>
                <w:sz w:val="24"/>
              </w:rPr>
            </w:pPr>
            <w:r>
              <w:rPr>
                <w:sz w:val="24"/>
              </w:rPr>
              <w:t>25</w:t>
            </w:r>
          </w:p>
        </w:tc>
        <w:tc>
          <w:tcPr>
            <w:tcW w:w="992" w:type="dxa"/>
            <w:vAlign w:val="center"/>
          </w:tcPr>
          <w:p>
            <w:pPr>
              <w:spacing w:line="280" w:lineRule="exact"/>
              <w:jc w:val="center"/>
              <w:rPr>
                <w:sz w:val="24"/>
              </w:rPr>
            </w:pPr>
            <w:r>
              <w:rPr>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36</w:t>
            </w:r>
          </w:p>
        </w:tc>
        <w:tc>
          <w:tcPr>
            <w:tcW w:w="5549" w:type="dxa"/>
            <w:gridSpan w:val="2"/>
            <w:vAlign w:val="center"/>
          </w:tcPr>
          <w:p>
            <w:pPr>
              <w:spacing w:line="280" w:lineRule="exact"/>
              <w:rPr>
                <w:sz w:val="24"/>
              </w:rPr>
            </w:pPr>
            <w:r>
              <w:rPr>
                <w:sz w:val="24"/>
              </w:rPr>
              <w:t>地表水县控以上断面达到或优于III类水质比例（%）</w:t>
            </w:r>
          </w:p>
        </w:tc>
        <w:tc>
          <w:tcPr>
            <w:tcW w:w="1051" w:type="dxa"/>
            <w:vAlign w:val="center"/>
          </w:tcPr>
          <w:p>
            <w:pPr>
              <w:spacing w:line="280" w:lineRule="exact"/>
              <w:jc w:val="center"/>
              <w:rPr>
                <w:sz w:val="24"/>
              </w:rPr>
            </w:pPr>
            <w:r>
              <w:rPr>
                <w:sz w:val="24"/>
              </w:rPr>
              <w:t>80</w:t>
            </w:r>
          </w:p>
        </w:tc>
        <w:tc>
          <w:tcPr>
            <w:tcW w:w="992" w:type="dxa"/>
            <w:vAlign w:val="center"/>
          </w:tcPr>
          <w:p>
            <w:pPr>
              <w:spacing w:line="280" w:lineRule="exact"/>
              <w:jc w:val="center"/>
              <w:rPr>
                <w:sz w:val="24"/>
              </w:rPr>
            </w:pPr>
            <w:r>
              <w:rPr>
                <w:sz w:val="24"/>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37</w:t>
            </w:r>
          </w:p>
        </w:tc>
        <w:tc>
          <w:tcPr>
            <w:tcW w:w="5549" w:type="dxa"/>
            <w:gridSpan w:val="2"/>
            <w:vAlign w:val="center"/>
          </w:tcPr>
          <w:p>
            <w:pPr>
              <w:spacing w:line="280" w:lineRule="exact"/>
              <w:rPr>
                <w:sz w:val="24"/>
              </w:rPr>
            </w:pPr>
            <w:r>
              <w:rPr>
                <w:sz w:val="24"/>
              </w:rPr>
              <w:t>城市公共交通出行分担率（%）</w:t>
            </w:r>
          </w:p>
        </w:tc>
        <w:tc>
          <w:tcPr>
            <w:tcW w:w="1051" w:type="dxa"/>
            <w:vAlign w:val="center"/>
          </w:tcPr>
          <w:p>
            <w:pPr>
              <w:spacing w:line="280" w:lineRule="exact"/>
              <w:jc w:val="center"/>
              <w:rPr>
                <w:sz w:val="24"/>
              </w:rPr>
            </w:pPr>
            <w:r>
              <w:rPr>
                <w:sz w:val="24"/>
              </w:rPr>
              <w:t>25.5</w:t>
            </w:r>
          </w:p>
        </w:tc>
        <w:tc>
          <w:tcPr>
            <w:tcW w:w="992" w:type="dxa"/>
            <w:vAlign w:val="center"/>
          </w:tcPr>
          <w:p>
            <w:pPr>
              <w:spacing w:line="280" w:lineRule="exact"/>
              <w:jc w:val="center"/>
              <w:rPr>
                <w:sz w:val="24"/>
              </w:rPr>
            </w:pPr>
            <w:r>
              <w:rPr>
                <w:sz w:val="24"/>
              </w:rPr>
              <w:t>32</w:t>
            </w:r>
            <w:r>
              <w:rPr>
                <w:sz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restart"/>
            <w:vAlign w:val="center"/>
          </w:tcPr>
          <w:p>
            <w:pPr>
              <w:spacing w:line="280" w:lineRule="exact"/>
              <w:jc w:val="center"/>
              <w:rPr>
                <w:sz w:val="24"/>
              </w:rPr>
            </w:pPr>
            <w:r>
              <w:rPr>
                <w:sz w:val="24"/>
              </w:rPr>
              <w:t>幸福养老服务</w:t>
            </w:r>
          </w:p>
        </w:tc>
        <w:tc>
          <w:tcPr>
            <w:tcW w:w="709" w:type="dxa"/>
            <w:vAlign w:val="center"/>
          </w:tcPr>
          <w:p>
            <w:pPr>
              <w:spacing w:line="280" w:lineRule="exact"/>
              <w:jc w:val="center"/>
              <w:rPr>
                <w:sz w:val="24"/>
              </w:rPr>
            </w:pPr>
            <w:r>
              <w:rPr>
                <w:sz w:val="24"/>
              </w:rPr>
              <w:t>38</w:t>
            </w:r>
          </w:p>
        </w:tc>
        <w:tc>
          <w:tcPr>
            <w:tcW w:w="5549" w:type="dxa"/>
            <w:gridSpan w:val="2"/>
            <w:vAlign w:val="center"/>
          </w:tcPr>
          <w:p>
            <w:pPr>
              <w:spacing w:line="280" w:lineRule="exact"/>
              <w:rPr>
                <w:sz w:val="24"/>
              </w:rPr>
            </w:pPr>
            <w:r>
              <w:rPr>
                <w:sz w:val="24"/>
              </w:rPr>
              <w:t>养老机构护理型床位占比（%）</w:t>
            </w:r>
          </w:p>
        </w:tc>
        <w:tc>
          <w:tcPr>
            <w:tcW w:w="1051" w:type="dxa"/>
            <w:vAlign w:val="center"/>
          </w:tcPr>
          <w:p>
            <w:pPr>
              <w:spacing w:line="280" w:lineRule="exact"/>
              <w:jc w:val="center"/>
              <w:rPr>
                <w:sz w:val="24"/>
              </w:rPr>
            </w:pPr>
            <w:r>
              <w:rPr>
                <w:sz w:val="24"/>
              </w:rPr>
              <w:t>52.7</w:t>
            </w:r>
          </w:p>
        </w:tc>
        <w:tc>
          <w:tcPr>
            <w:tcW w:w="992" w:type="dxa"/>
            <w:vAlign w:val="center"/>
          </w:tcPr>
          <w:p>
            <w:pPr>
              <w:spacing w:line="280" w:lineRule="exact"/>
              <w:jc w:val="center"/>
              <w:rPr>
                <w:sz w:val="24"/>
              </w:rPr>
            </w:pPr>
            <w:r>
              <w:rPr>
                <w:sz w:val="24"/>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39</w:t>
            </w:r>
          </w:p>
        </w:tc>
        <w:tc>
          <w:tcPr>
            <w:tcW w:w="5549" w:type="dxa"/>
            <w:gridSpan w:val="2"/>
            <w:vAlign w:val="center"/>
          </w:tcPr>
          <w:p>
            <w:pPr>
              <w:spacing w:line="280" w:lineRule="exact"/>
              <w:rPr>
                <w:sz w:val="24"/>
              </w:rPr>
            </w:pPr>
            <w:r>
              <w:rPr>
                <w:sz w:val="24"/>
              </w:rPr>
              <w:t>每万老年人口拥有持证养老护理员数（人）</w:t>
            </w:r>
          </w:p>
        </w:tc>
        <w:tc>
          <w:tcPr>
            <w:tcW w:w="1051" w:type="dxa"/>
            <w:vAlign w:val="center"/>
          </w:tcPr>
          <w:p>
            <w:pPr>
              <w:spacing w:line="280" w:lineRule="exact"/>
              <w:jc w:val="center"/>
              <w:rPr>
                <w:sz w:val="24"/>
              </w:rPr>
            </w:pPr>
            <w:r>
              <w:rPr>
                <w:sz w:val="24"/>
              </w:rPr>
              <w:t>13</w:t>
            </w:r>
          </w:p>
        </w:tc>
        <w:tc>
          <w:tcPr>
            <w:tcW w:w="992" w:type="dxa"/>
            <w:vAlign w:val="center"/>
          </w:tcPr>
          <w:p>
            <w:pPr>
              <w:spacing w:line="280" w:lineRule="exact"/>
              <w:jc w:val="center"/>
              <w:rPr>
                <w:sz w:val="24"/>
              </w:rPr>
            </w:pPr>
            <w:r>
              <w:rPr>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40</w:t>
            </w:r>
          </w:p>
        </w:tc>
        <w:tc>
          <w:tcPr>
            <w:tcW w:w="5549" w:type="dxa"/>
            <w:gridSpan w:val="2"/>
            <w:vAlign w:val="center"/>
          </w:tcPr>
          <w:p>
            <w:pPr>
              <w:spacing w:line="280" w:lineRule="exact"/>
              <w:rPr>
                <w:sz w:val="24"/>
              </w:rPr>
            </w:pPr>
            <w:r>
              <w:rPr>
                <w:sz w:val="24"/>
              </w:rPr>
              <w:t>基本养老保险参保率（%）</w:t>
            </w:r>
          </w:p>
        </w:tc>
        <w:tc>
          <w:tcPr>
            <w:tcW w:w="1051" w:type="dxa"/>
            <w:vAlign w:val="center"/>
          </w:tcPr>
          <w:p>
            <w:pPr>
              <w:spacing w:line="280" w:lineRule="exact"/>
              <w:jc w:val="center"/>
              <w:rPr>
                <w:sz w:val="24"/>
              </w:rPr>
            </w:pPr>
            <w:r>
              <w:rPr>
                <w:sz w:val="24"/>
              </w:rPr>
              <w:t>97.7</w:t>
            </w:r>
          </w:p>
        </w:tc>
        <w:tc>
          <w:tcPr>
            <w:tcW w:w="992" w:type="dxa"/>
            <w:vAlign w:val="center"/>
          </w:tcPr>
          <w:p>
            <w:pPr>
              <w:spacing w:line="280" w:lineRule="exact"/>
              <w:jc w:val="center"/>
              <w:rPr>
                <w:sz w:val="24"/>
              </w:rPr>
            </w:pPr>
            <w:r>
              <w:rPr>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41</w:t>
            </w:r>
          </w:p>
        </w:tc>
        <w:tc>
          <w:tcPr>
            <w:tcW w:w="5549" w:type="dxa"/>
            <w:gridSpan w:val="2"/>
            <w:vAlign w:val="center"/>
          </w:tcPr>
          <w:p>
            <w:pPr>
              <w:spacing w:line="280" w:lineRule="exact"/>
              <w:rPr>
                <w:sz w:val="24"/>
              </w:rPr>
            </w:pPr>
            <w:r>
              <w:rPr>
                <w:sz w:val="24"/>
              </w:rPr>
              <w:t>老年人健康管理率（%）</w:t>
            </w:r>
          </w:p>
        </w:tc>
        <w:tc>
          <w:tcPr>
            <w:tcW w:w="1051" w:type="dxa"/>
            <w:vAlign w:val="center"/>
          </w:tcPr>
          <w:p>
            <w:pPr>
              <w:spacing w:line="280" w:lineRule="exact"/>
              <w:jc w:val="center"/>
              <w:rPr>
                <w:sz w:val="24"/>
              </w:rPr>
            </w:pPr>
            <w:r>
              <w:rPr>
                <w:sz w:val="24"/>
              </w:rPr>
              <w:t>66.97</w:t>
            </w:r>
          </w:p>
        </w:tc>
        <w:tc>
          <w:tcPr>
            <w:tcW w:w="992" w:type="dxa"/>
            <w:vAlign w:val="center"/>
          </w:tcPr>
          <w:p>
            <w:pPr>
              <w:spacing w:line="280" w:lineRule="exact"/>
              <w:jc w:val="center"/>
              <w:rPr>
                <w:sz w:val="24"/>
              </w:rPr>
            </w:pPr>
            <w:r>
              <w:rPr>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785" w:type="dxa"/>
            <w:vMerge w:val="restart"/>
            <w:vAlign w:val="center"/>
          </w:tcPr>
          <w:p>
            <w:pPr>
              <w:spacing w:line="280" w:lineRule="exact"/>
              <w:jc w:val="center"/>
              <w:rPr>
                <w:sz w:val="24"/>
              </w:rPr>
            </w:pPr>
            <w:r>
              <w:rPr>
                <w:sz w:val="24"/>
              </w:rPr>
              <w:t>兜底保障服务</w:t>
            </w:r>
          </w:p>
        </w:tc>
        <w:tc>
          <w:tcPr>
            <w:tcW w:w="709" w:type="dxa"/>
            <w:vAlign w:val="center"/>
          </w:tcPr>
          <w:p>
            <w:pPr>
              <w:spacing w:line="280" w:lineRule="exact"/>
              <w:jc w:val="center"/>
              <w:rPr>
                <w:sz w:val="24"/>
              </w:rPr>
            </w:pPr>
            <w:r>
              <w:rPr>
                <w:sz w:val="24"/>
              </w:rPr>
              <w:t>42</w:t>
            </w:r>
          </w:p>
        </w:tc>
        <w:tc>
          <w:tcPr>
            <w:tcW w:w="5549" w:type="dxa"/>
            <w:gridSpan w:val="2"/>
            <w:vAlign w:val="center"/>
          </w:tcPr>
          <w:p>
            <w:pPr>
              <w:spacing w:line="280" w:lineRule="exact"/>
              <w:rPr>
                <w:sz w:val="24"/>
              </w:rPr>
            </w:pPr>
            <w:r>
              <w:rPr>
                <w:sz w:val="24"/>
              </w:rPr>
              <w:t>困难残疾人生活补贴、重度残疾人护理补贴覆盖率（%）</w:t>
            </w:r>
          </w:p>
        </w:tc>
        <w:tc>
          <w:tcPr>
            <w:tcW w:w="1051" w:type="dxa"/>
            <w:vAlign w:val="center"/>
          </w:tcPr>
          <w:p>
            <w:pPr>
              <w:spacing w:line="280" w:lineRule="exact"/>
              <w:jc w:val="center"/>
              <w:rPr>
                <w:sz w:val="24"/>
              </w:rPr>
            </w:pPr>
            <w:r>
              <w:rPr>
                <w:sz w:val="24"/>
              </w:rPr>
              <w:t>98</w:t>
            </w:r>
          </w:p>
        </w:tc>
        <w:tc>
          <w:tcPr>
            <w:tcW w:w="992" w:type="dxa"/>
            <w:vAlign w:val="center"/>
          </w:tcPr>
          <w:p>
            <w:pPr>
              <w:spacing w:line="280" w:lineRule="exact"/>
              <w:jc w:val="center"/>
              <w:rPr>
                <w:sz w:val="24"/>
              </w:rPr>
            </w:pPr>
            <w:r>
              <w:rPr>
                <w:sz w:val="24"/>
              </w:rPr>
              <w:t>&gt;99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43</w:t>
            </w:r>
          </w:p>
        </w:tc>
        <w:tc>
          <w:tcPr>
            <w:tcW w:w="5549" w:type="dxa"/>
            <w:gridSpan w:val="2"/>
            <w:vAlign w:val="center"/>
          </w:tcPr>
          <w:p>
            <w:pPr>
              <w:spacing w:line="280" w:lineRule="exact"/>
              <w:rPr>
                <w:sz w:val="24"/>
              </w:rPr>
            </w:pPr>
            <w:r>
              <w:rPr>
                <w:sz w:val="24"/>
              </w:rPr>
              <w:t>残疾人专业托养机构覆盖率（%）</w:t>
            </w:r>
          </w:p>
        </w:tc>
        <w:tc>
          <w:tcPr>
            <w:tcW w:w="1051" w:type="dxa"/>
            <w:vAlign w:val="center"/>
          </w:tcPr>
          <w:p>
            <w:pPr>
              <w:spacing w:line="280" w:lineRule="exact"/>
              <w:jc w:val="center"/>
              <w:rPr>
                <w:sz w:val="24"/>
              </w:rPr>
            </w:pPr>
            <w:r>
              <w:rPr>
                <w:sz w:val="24"/>
              </w:rPr>
              <w:t>78</w:t>
            </w:r>
          </w:p>
        </w:tc>
        <w:tc>
          <w:tcPr>
            <w:tcW w:w="992" w:type="dxa"/>
            <w:vAlign w:val="center"/>
          </w:tcPr>
          <w:p>
            <w:pPr>
              <w:spacing w:line="280" w:lineRule="exact"/>
              <w:jc w:val="center"/>
              <w:rPr>
                <w:sz w:val="24"/>
              </w:rPr>
            </w:pPr>
            <w:r>
              <w:rPr>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44</w:t>
            </w:r>
          </w:p>
        </w:tc>
        <w:tc>
          <w:tcPr>
            <w:tcW w:w="5549" w:type="dxa"/>
            <w:gridSpan w:val="2"/>
            <w:vAlign w:val="center"/>
          </w:tcPr>
          <w:p>
            <w:pPr>
              <w:spacing w:line="280" w:lineRule="exact"/>
              <w:rPr>
                <w:sz w:val="24"/>
              </w:rPr>
            </w:pPr>
            <w:r>
              <w:rPr>
                <w:sz w:val="24"/>
              </w:rPr>
              <w:t>*每万人持证社会工作专业人才数（人）</w:t>
            </w:r>
          </w:p>
        </w:tc>
        <w:tc>
          <w:tcPr>
            <w:tcW w:w="1051" w:type="dxa"/>
            <w:vAlign w:val="center"/>
          </w:tcPr>
          <w:p>
            <w:pPr>
              <w:spacing w:line="280" w:lineRule="exact"/>
              <w:jc w:val="center"/>
              <w:rPr>
                <w:sz w:val="24"/>
              </w:rPr>
            </w:pPr>
            <w:r>
              <w:rPr>
                <w:rFonts w:hint="eastAsia"/>
                <w:sz w:val="24"/>
              </w:rPr>
              <w:t>16.1</w:t>
            </w:r>
          </w:p>
        </w:tc>
        <w:tc>
          <w:tcPr>
            <w:tcW w:w="992" w:type="dxa"/>
            <w:vAlign w:val="center"/>
          </w:tcPr>
          <w:p>
            <w:pPr>
              <w:spacing w:line="280" w:lineRule="exact"/>
              <w:jc w:val="center"/>
              <w:rPr>
                <w:sz w:val="24"/>
              </w:rPr>
            </w:pPr>
            <w:r>
              <w:rPr>
                <w:rFonts w:hint="eastAsia"/>
                <w:sz w:val="24"/>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45</w:t>
            </w:r>
          </w:p>
        </w:tc>
        <w:tc>
          <w:tcPr>
            <w:tcW w:w="5549" w:type="dxa"/>
            <w:gridSpan w:val="2"/>
            <w:vAlign w:val="center"/>
          </w:tcPr>
          <w:p>
            <w:pPr>
              <w:widowControl/>
              <w:spacing w:line="280" w:lineRule="exact"/>
              <w:jc w:val="left"/>
              <w:rPr>
                <w:sz w:val="24"/>
              </w:rPr>
            </w:pPr>
            <w:r>
              <w:rPr>
                <w:sz w:val="24"/>
              </w:rPr>
              <w:t>计划分配军转干部和由政府安排工作退役士兵（退</w:t>
            </w:r>
            <w:r>
              <w:rPr>
                <w:rFonts w:hint="eastAsia"/>
                <w:sz w:val="24"/>
              </w:rPr>
              <w:t>出</w:t>
            </w:r>
            <w:r>
              <w:rPr>
                <w:sz w:val="24"/>
              </w:rPr>
              <w:t>消防员）安置率（%）</w:t>
            </w:r>
          </w:p>
        </w:tc>
        <w:tc>
          <w:tcPr>
            <w:tcW w:w="1051" w:type="dxa"/>
            <w:vAlign w:val="center"/>
          </w:tcPr>
          <w:p>
            <w:pPr>
              <w:spacing w:line="280" w:lineRule="exact"/>
              <w:jc w:val="center"/>
              <w:rPr>
                <w:sz w:val="24"/>
              </w:rPr>
            </w:pPr>
            <w:r>
              <w:rPr>
                <w:sz w:val="24"/>
              </w:rPr>
              <w:t>100</w:t>
            </w:r>
          </w:p>
        </w:tc>
        <w:tc>
          <w:tcPr>
            <w:tcW w:w="992" w:type="dxa"/>
            <w:vAlign w:val="center"/>
          </w:tcPr>
          <w:p>
            <w:pPr>
              <w:spacing w:line="280" w:lineRule="exact"/>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85" w:type="dxa"/>
            <w:vMerge w:val="continue"/>
            <w:vAlign w:val="center"/>
          </w:tcPr>
          <w:p>
            <w:pPr>
              <w:spacing w:line="280" w:lineRule="exact"/>
              <w:jc w:val="center"/>
              <w:rPr>
                <w:sz w:val="24"/>
              </w:rPr>
            </w:pPr>
          </w:p>
        </w:tc>
        <w:tc>
          <w:tcPr>
            <w:tcW w:w="709" w:type="dxa"/>
            <w:vAlign w:val="center"/>
          </w:tcPr>
          <w:p>
            <w:pPr>
              <w:spacing w:line="280" w:lineRule="exact"/>
              <w:jc w:val="center"/>
              <w:rPr>
                <w:sz w:val="24"/>
              </w:rPr>
            </w:pPr>
            <w:r>
              <w:rPr>
                <w:sz w:val="24"/>
              </w:rPr>
              <w:t>46</w:t>
            </w:r>
          </w:p>
        </w:tc>
        <w:tc>
          <w:tcPr>
            <w:tcW w:w="5549" w:type="dxa"/>
            <w:gridSpan w:val="2"/>
            <w:vAlign w:val="center"/>
          </w:tcPr>
          <w:p>
            <w:pPr>
              <w:widowControl/>
              <w:spacing w:line="280" w:lineRule="exact"/>
              <w:jc w:val="left"/>
              <w:rPr>
                <w:sz w:val="24"/>
              </w:rPr>
            </w:pPr>
            <w:r>
              <w:rPr>
                <w:sz w:val="24"/>
              </w:rPr>
              <w:t>*每万人口拥有律师数（人）</w:t>
            </w:r>
          </w:p>
        </w:tc>
        <w:tc>
          <w:tcPr>
            <w:tcW w:w="1051" w:type="dxa"/>
            <w:vAlign w:val="center"/>
          </w:tcPr>
          <w:p>
            <w:pPr>
              <w:spacing w:line="280" w:lineRule="exact"/>
              <w:jc w:val="center"/>
              <w:rPr>
                <w:sz w:val="24"/>
              </w:rPr>
            </w:pPr>
            <w:r>
              <w:rPr>
                <w:sz w:val="24"/>
              </w:rPr>
              <w:t>2.58</w:t>
            </w:r>
          </w:p>
        </w:tc>
        <w:tc>
          <w:tcPr>
            <w:tcW w:w="992" w:type="dxa"/>
            <w:vAlign w:val="center"/>
          </w:tcPr>
          <w:p>
            <w:pPr>
              <w:spacing w:line="280" w:lineRule="exact"/>
              <w:jc w:val="center"/>
              <w:rPr>
                <w:sz w:val="24"/>
              </w:rPr>
            </w:pPr>
            <w:r>
              <w:rPr>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85" w:type="dxa"/>
            <w:vMerge w:val="restart"/>
            <w:vAlign w:val="center"/>
          </w:tcPr>
          <w:p>
            <w:pPr>
              <w:spacing w:line="280" w:lineRule="exact"/>
              <w:jc w:val="center"/>
              <w:rPr>
                <w:sz w:val="24"/>
              </w:rPr>
            </w:pPr>
            <w:r>
              <w:rPr>
                <w:sz w:val="24"/>
              </w:rPr>
              <w:t>公共安全服务</w:t>
            </w:r>
          </w:p>
        </w:tc>
        <w:tc>
          <w:tcPr>
            <w:tcW w:w="709" w:type="dxa"/>
            <w:vAlign w:val="center"/>
          </w:tcPr>
          <w:p>
            <w:pPr>
              <w:spacing w:line="280" w:lineRule="exact"/>
              <w:jc w:val="center"/>
              <w:rPr>
                <w:sz w:val="24"/>
              </w:rPr>
            </w:pPr>
            <w:r>
              <w:rPr>
                <w:sz w:val="24"/>
              </w:rPr>
              <w:t>47</w:t>
            </w:r>
          </w:p>
        </w:tc>
        <w:tc>
          <w:tcPr>
            <w:tcW w:w="5549" w:type="dxa"/>
            <w:gridSpan w:val="2"/>
            <w:vAlign w:val="center"/>
          </w:tcPr>
          <w:p>
            <w:pPr>
              <w:spacing w:line="280" w:lineRule="exact"/>
              <w:rPr>
                <w:sz w:val="24"/>
              </w:rPr>
            </w:pPr>
            <w:r>
              <w:rPr>
                <w:sz w:val="24"/>
              </w:rPr>
              <w:t>亿元GDP生产安全事故死亡率（%）</w:t>
            </w:r>
          </w:p>
        </w:tc>
        <w:tc>
          <w:tcPr>
            <w:tcW w:w="1051" w:type="dxa"/>
            <w:vAlign w:val="center"/>
          </w:tcPr>
          <w:p>
            <w:pPr>
              <w:spacing w:line="280" w:lineRule="exact"/>
              <w:jc w:val="center"/>
              <w:rPr>
                <w:sz w:val="24"/>
              </w:rPr>
            </w:pPr>
            <w:r>
              <w:rPr>
                <w:sz w:val="24"/>
              </w:rPr>
              <w:t>0.021</w:t>
            </w:r>
          </w:p>
        </w:tc>
        <w:tc>
          <w:tcPr>
            <w:tcW w:w="992" w:type="dxa"/>
            <w:vAlign w:val="center"/>
          </w:tcPr>
          <w:p>
            <w:pPr>
              <w:spacing w:line="280" w:lineRule="exact"/>
              <w:jc w:val="center"/>
              <w:rPr>
                <w:sz w:val="24"/>
              </w:rPr>
            </w:pPr>
            <w:r>
              <w:rPr>
                <w:sz w:val="24"/>
              </w:rPr>
              <w:t>&lt;0.01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85" w:type="dxa"/>
            <w:vMerge w:val="continue"/>
            <w:vAlign w:val="center"/>
          </w:tcPr>
          <w:p>
            <w:pPr>
              <w:spacing w:line="280" w:lineRule="exact"/>
              <w:rPr>
                <w:sz w:val="24"/>
              </w:rPr>
            </w:pPr>
          </w:p>
        </w:tc>
        <w:tc>
          <w:tcPr>
            <w:tcW w:w="709" w:type="dxa"/>
            <w:vAlign w:val="center"/>
          </w:tcPr>
          <w:p>
            <w:pPr>
              <w:spacing w:line="280" w:lineRule="exact"/>
              <w:jc w:val="center"/>
              <w:rPr>
                <w:sz w:val="24"/>
              </w:rPr>
            </w:pPr>
            <w:r>
              <w:rPr>
                <w:sz w:val="24"/>
              </w:rPr>
              <w:t>48</w:t>
            </w:r>
          </w:p>
        </w:tc>
        <w:tc>
          <w:tcPr>
            <w:tcW w:w="5549" w:type="dxa"/>
            <w:gridSpan w:val="2"/>
            <w:vAlign w:val="center"/>
          </w:tcPr>
          <w:p>
            <w:pPr>
              <w:spacing w:line="280" w:lineRule="exact"/>
              <w:rPr>
                <w:sz w:val="24"/>
              </w:rPr>
            </w:pPr>
            <w:r>
              <w:rPr>
                <w:sz w:val="24"/>
              </w:rPr>
              <w:t>基本药品检验合格率（%）</w:t>
            </w:r>
          </w:p>
        </w:tc>
        <w:tc>
          <w:tcPr>
            <w:tcW w:w="1051" w:type="dxa"/>
            <w:vAlign w:val="center"/>
          </w:tcPr>
          <w:p>
            <w:pPr>
              <w:spacing w:line="280" w:lineRule="exact"/>
              <w:jc w:val="center"/>
              <w:rPr>
                <w:sz w:val="24"/>
              </w:rPr>
            </w:pPr>
            <w:r>
              <w:rPr>
                <w:sz w:val="24"/>
              </w:rPr>
              <w:t>100</w:t>
            </w:r>
          </w:p>
        </w:tc>
        <w:tc>
          <w:tcPr>
            <w:tcW w:w="992" w:type="dxa"/>
            <w:vAlign w:val="center"/>
          </w:tcPr>
          <w:p>
            <w:pPr>
              <w:spacing w:line="280" w:lineRule="exact"/>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85" w:type="dxa"/>
            <w:vMerge w:val="continue"/>
            <w:vAlign w:val="center"/>
          </w:tcPr>
          <w:p>
            <w:pPr>
              <w:spacing w:line="280" w:lineRule="exact"/>
              <w:rPr>
                <w:sz w:val="24"/>
              </w:rPr>
            </w:pPr>
          </w:p>
        </w:tc>
        <w:tc>
          <w:tcPr>
            <w:tcW w:w="709" w:type="dxa"/>
            <w:vAlign w:val="center"/>
          </w:tcPr>
          <w:p>
            <w:pPr>
              <w:spacing w:line="280" w:lineRule="exact"/>
              <w:jc w:val="center"/>
              <w:rPr>
                <w:sz w:val="24"/>
              </w:rPr>
            </w:pPr>
            <w:r>
              <w:rPr>
                <w:sz w:val="24"/>
              </w:rPr>
              <w:t>49</w:t>
            </w:r>
          </w:p>
        </w:tc>
        <w:tc>
          <w:tcPr>
            <w:tcW w:w="5549" w:type="dxa"/>
            <w:gridSpan w:val="2"/>
            <w:vAlign w:val="center"/>
          </w:tcPr>
          <w:p>
            <w:pPr>
              <w:spacing w:line="280" w:lineRule="exact"/>
              <w:rPr>
                <w:sz w:val="24"/>
              </w:rPr>
            </w:pPr>
            <w:r>
              <w:rPr>
                <w:sz w:val="24"/>
              </w:rPr>
              <w:t>公众对食品安全满意度</w:t>
            </w:r>
          </w:p>
        </w:tc>
        <w:tc>
          <w:tcPr>
            <w:tcW w:w="1051" w:type="dxa"/>
            <w:vAlign w:val="center"/>
          </w:tcPr>
          <w:p>
            <w:pPr>
              <w:spacing w:line="280" w:lineRule="exact"/>
              <w:jc w:val="center"/>
              <w:rPr>
                <w:sz w:val="24"/>
              </w:rPr>
            </w:pPr>
            <w:r>
              <w:rPr>
                <w:sz w:val="24"/>
              </w:rPr>
              <w:t>87.46</w:t>
            </w:r>
          </w:p>
        </w:tc>
        <w:tc>
          <w:tcPr>
            <w:tcW w:w="992" w:type="dxa"/>
            <w:vAlign w:val="center"/>
          </w:tcPr>
          <w:p>
            <w:pPr>
              <w:keepNext/>
              <w:keepLines/>
              <w:spacing w:line="280" w:lineRule="exact"/>
              <w:jc w:val="center"/>
              <w:outlineLvl w:val="0"/>
              <w:rPr>
                <w:sz w:val="24"/>
              </w:rPr>
            </w:pPr>
            <w:r>
              <w:rPr>
                <w:sz w:val="24"/>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785" w:type="dxa"/>
            <w:vMerge w:val="continue"/>
            <w:vAlign w:val="center"/>
          </w:tcPr>
          <w:p>
            <w:pPr>
              <w:spacing w:line="280" w:lineRule="exact"/>
              <w:rPr>
                <w:sz w:val="24"/>
              </w:rPr>
            </w:pPr>
          </w:p>
        </w:tc>
        <w:tc>
          <w:tcPr>
            <w:tcW w:w="709" w:type="dxa"/>
            <w:vAlign w:val="center"/>
          </w:tcPr>
          <w:p>
            <w:pPr>
              <w:spacing w:line="280" w:lineRule="exact"/>
              <w:jc w:val="center"/>
              <w:rPr>
                <w:sz w:val="24"/>
              </w:rPr>
            </w:pPr>
            <w:r>
              <w:rPr>
                <w:sz w:val="24"/>
              </w:rPr>
              <w:t>50</w:t>
            </w:r>
          </w:p>
        </w:tc>
        <w:tc>
          <w:tcPr>
            <w:tcW w:w="5549" w:type="dxa"/>
            <w:gridSpan w:val="2"/>
            <w:vAlign w:val="center"/>
          </w:tcPr>
          <w:p>
            <w:pPr>
              <w:spacing w:line="280" w:lineRule="exact"/>
              <w:rPr>
                <w:sz w:val="24"/>
              </w:rPr>
            </w:pPr>
            <w:r>
              <w:rPr>
                <w:sz w:val="24"/>
              </w:rPr>
              <w:t>公众对药品安全满意度</w:t>
            </w:r>
          </w:p>
        </w:tc>
        <w:tc>
          <w:tcPr>
            <w:tcW w:w="1051" w:type="dxa"/>
            <w:vAlign w:val="center"/>
          </w:tcPr>
          <w:p>
            <w:pPr>
              <w:spacing w:line="280" w:lineRule="exact"/>
              <w:jc w:val="center"/>
              <w:rPr>
                <w:sz w:val="24"/>
              </w:rPr>
            </w:pPr>
            <w:r>
              <w:rPr>
                <w:sz w:val="24"/>
              </w:rPr>
              <w:t>85</w:t>
            </w:r>
          </w:p>
        </w:tc>
        <w:tc>
          <w:tcPr>
            <w:tcW w:w="992" w:type="dxa"/>
            <w:vAlign w:val="center"/>
          </w:tcPr>
          <w:p>
            <w:pPr>
              <w:keepNext/>
              <w:keepLines/>
              <w:spacing w:line="280" w:lineRule="exact"/>
              <w:jc w:val="center"/>
              <w:outlineLvl w:val="0"/>
              <w:rPr>
                <w:sz w:val="24"/>
              </w:rPr>
            </w:pPr>
            <w:r>
              <w:rPr>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exact"/>
          <w:jc w:val="center"/>
        </w:trPr>
        <w:tc>
          <w:tcPr>
            <w:tcW w:w="9086" w:type="dxa"/>
            <w:gridSpan w:val="6"/>
            <w:vAlign w:val="center"/>
          </w:tcPr>
          <w:p>
            <w:pPr>
              <w:spacing w:line="280" w:lineRule="exact"/>
              <w:jc w:val="left"/>
              <w:rPr>
                <w:sz w:val="24"/>
              </w:rPr>
            </w:pPr>
            <w:r>
              <w:rPr>
                <w:sz w:val="24"/>
              </w:rPr>
              <w:t>注：</w:t>
            </w:r>
            <w:r>
              <w:rPr>
                <w:rFonts w:hint="eastAsia"/>
                <w:sz w:val="24"/>
              </w:rPr>
              <w:t>（1）</w:t>
            </w:r>
            <w:r>
              <w:rPr>
                <w:sz w:val="24"/>
              </w:rPr>
              <w:t>[  ]内数据为5年累计数。</w:t>
            </w:r>
          </w:p>
          <w:p>
            <w:pPr>
              <w:spacing w:line="280" w:lineRule="exact"/>
              <w:ind w:left="360"/>
              <w:jc w:val="left"/>
              <w:rPr>
                <w:sz w:val="24"/>
              </w:rPr>
            </w:pPr>
            <w:r>
              <w:rPr>
                <w:rFonts w:hint="eastAsia"/>
                <w:sz w:val="24"/>
              </w:rPr>
              <w:t>（2）</w:t>
            </w:r>
            <w:r>
              <w:rPr>
                <w:sz w:val="24"/>
              </w:rPr>
              <w:t>体育产业增加值占GDP比重1%为2019年数据。</w:t>
            </w:r>
          </w:p>
          <w:p>
            <w:pPr>
              <w:spacing w:line="280" w:lineRule="exact"/>
              <w:ind w:left="360"/>
              <w:jc w:val="left"/>
              <w:rPr>
                <w:sz w:val="24"/>
              </w:rPr>
            </w:pPr>
            <w:r>
              <w:rPr>
                <w:rFonts w:hint="eastAsia"/>
                <w:sz w:val="24"/>
              </w:rPr>
              <w:t>（3）</w:t>
            </w:r>
            <w:r>
              <w:rPr>
                <w:sz w:val="24"/>
              </w:rPr>
              <w:t>我</w:t>
            </w:r>
            <w:r>
              <w:rPr>
                <w:rFonts w:hint="eastAsia" w:ascii="仿宋_GB2312"/>
                <w:sz w:val="24"/>
              </w:rPr>
              <w:t>市“十四五”末城</w:t>
            </w:r>
            <w:r>
              <w:rPr>
                <w:sz w:val="24"/>
              </w:rPr>
              <w:t>镇住房保障受益覆盖率为23%，略低于2020年的23.75%。</w:t>
            </w:r>
          </w:p>
          <w:p>
            <w:pPr>
              <w:spacing w:line="280" w:lineRule="exact"/>
              <w:ind w:firstLine="944" w:firstLineChars="400"/>
              <w:jc w:val="left"/>
              <w:rPr>
                <w:sz w:val="24"/>
              </w:rPr>
            </w:pPr>
            <w:r>
              <w:rPr>
                <w:sz w:val="24"/>
              </w:rPr>
              <w:t>原因在于：第七次人口普查数据公布后，我市常住人口数量较大幅度上升。结</w:t>
            </w:r>
          </w:p>
          <w:p>
            <w:pPr>
              <w:spacing w:line="280" w:lineRule="exact"/>
              <w:ind w:firstLine="944" w:firstLineChars="400"/>
              <w:jc w:val="left"/>
              <w:rPr>
                <w:sz w:val="24"/>
              </w:rPr>
            </w:pPr>
            <w:r>
              <w:rPr>
                <w:sz w:val="24"/>
              </w:rPr>
              <w:t>合省级相关指标数据调整情况（由25%调整为23%）。</w:t>
            </w:r>
          </w:p>
          <w:p>
            <w:pPr>
              <w:spacing w:line="280" w:lineRule="exact"/>
              <w:ind w:left="360"/>
              <w:jc w:val="left"/>
              <w:rPr>
                <w:sz w:val="24"/>
              </w:rPr>
            </w:pPr>
            <w:r>
              <w:rPr>
                <w:rFonts w:hint="eastAsia"/>
                <w:sz w:val="24"/>
              </w:rPr>
              <w:t>（4）城市公共交通出行分担率指标2025年目标值32%为预估值。</w:t>
            </w:r>
          </w:p>
          <w:p>
            <w:pPr>
              <w:spacing w:line="280" w:lineRule="exact"/>
              <w:ind w:left="360"/>
              <w:jc w:val="left"/>
              <w:rPr>
                <w:sz w:val="24"/>
              </w:rPr>
            </w:pPr>
            <w:r>
              <w:rPr>
                <w:rFonts w:hint="eastAsia"/>
                <w:sz w:val="24"/>
              </w:rPr>
              <w:t>（5）</w:t>
            </w:r>
            <w:r>
              <w:rPr>
                <w:sz w:val="24"/>
              </w:rPr>
              <w:t>标注</w:t>
            </w:r>
            <w:r>
              <w:rPr>
                <w:rFonts w:hint="eastAsia" w:ascii="仿宋_GB2312"/>
                <w:sz w:val="24"/>
              </w:rPr>
              <w:t>“</w:t>
            </w:r>
            <w:r>
              <w:rPr>
                <w:sz w:val="24"/>
              </w:rPr>
              <w:t>*</w:t>
            </w:r>
            <w:r>
              <w:rPr>
                <w:rFonts w:hint="eastAsia" w:ascii="仿宋_GB2312"/>
                <w:sz w:val="24"/>
              </w:rPr>
              <w:t>”指</w:t>
            </w:r>
            <w:r>
              <w:rPr>
                <w:sz w:val="24"/>
              </w:rPr>
              <w:t>标2020年基数根据第七次人口普查数据测算。</w:t>
            </w:r>
          </w:p>
        </w:tc>
      </w:tr>
    </w:tbl>
    <w:p>
      <w:pPr>
        <w:spacing w:line="600" w:lineRule="exact"/>
        <w:ind w:firstLine="632" w:firstLineChars="200"/>
        <w:rPr>
          <w:szCs w:val="32"/>
        </w:rPr>
      </w:pPr>
      <w:r>
        <w:rPr>
          <w:rFonts w:hint="eastAsia"/>
          <w:szCs w:val="32"/>
        </w:rPr>
        <w:t xml:space="preserve">2. </w:t>
      </w:r>
      <w:r>
        <w:rPr>
          <w:szCs w:val="32"/>
        </w:rPr>
        <w:t>中长期发展目标</w:t>
      </w:r>
      <w:r>
        <w:rPr>
          <w:rFonts w:hint="eastAsia"/>
          <w:szCs w:val="32"/>
        </w:rPr>
        <w:t>。</w:t>
      </w:r>
    </w:p>
    <w:p>
      <w:pPr>
        <w:spacing w:line="600" w:lineRule="exact"/>
        <w:ind w:firstLine="632" w:firstLineChars="200"/>
        <w:rPr>
          <w:szCs w:val="32"/>
        </w:rPr>
      </w:pPr>
      <w:r>
        <w:rPr>
          <w:szCs w:val="32"/>
        </w:rPr>
        <w:t>到2035年</w:t>
      </w:r>
      <w:r>
        <w:rPr>
          <w:rFonts w:hint="eastAsia"/>
          <w:szCs w:val="32"/>
        </w:rPr>
        <w:t>，全面</w:t>
      </w:r>
      <w:r>
        <w:rPr>
          <w:szCs w:val="32"/>
        </w:rPr>
        <w:t>建成</w:t>
      </w:r>
      <w:r>
        <w:rPr>
          <w:rFonts w:hint="eastAsia"/>
          <w:szCs w:val="32"/>
        </w:rPr>
        <w:t>与共同富裕先行市相适应</w:t>
      </w:r>
      <w:r>
        <w:rPr>
          <w:szCs w:val="32"/>
        </w:rPr>
        <w:t>的高质量公共服务体系，高水平实现幼有</w:t>
      </w:r>
      <w:r>
        <w:rPr>
          <w:rFonts w:hint="eastAsia" w:ascii="仿宋_GB2312"/>
          <w:szCs w:val="32"/>
        </w:rPr>
        <w:t>所育、学有所教、劳有所得、病有所医、娱有所乐、住有所居、老有所养、弱有所扶、安有所保，高品质公共服务产品广泛享受，成为新时代全面展示中国特色社会主义制度优越性“重要窗口”的幸福板</w:t>
      </w:r>
      <w:r>
        <w:rPr>
          <w:szCs w:val="32"/>
        </w:rPr>
        <w:t>块。</w:t>
      </w:r>
    </w:p>
    <w:p>
      <w:pPr>
        <w:spacing w:line="600" w:lineRule="exact"/>
        <w:ind w:firstLine="632" w:firstLineChars="200"/>
        <w:outlineLvl w:val="0"/>
        <w:rPr>
          <w:rFonts w:ascii="黑体" w:hAnsi="黑体" w:eastAsia="黑体" w:cs="黑体"/>
          <w:bCs/>
          <w:szCs w:val="32"/>
        </w:rPr>
      </w:pPr>
      <w:r>
        <w:rPr>
          <w:rFonts w:hint="eastAsia" w:ascii="黑体" w:hAnsi="黑体" w:eastAsia="黑体" w:cs="黑体"/>
          <w:bCs/>
          <w:szCs w:val="32"/>
        </w:rPr>
        <w:t>三、实施路径</w:t>
      </w:r>
    </w:p>
    <w:p>
      <w:pPr>
        <w:spacing w:line="600" w:lineRule="exact"/>
        <w:ind w:firstLine="632" w:firstLineChars="200"/>
        <w:outlineLvl w:val="1"/>
        <w:rPr>
          <w:rFonts w:ascii="楷体_GB2312" w:hAnsi="楷体_GB2312" w:eastAsia="楷体_GB2312" w:cs="楷体_GB2312"/>
          <w:szCs w:val="32"/>
        </w:rPr>
      </w:pPr>
      <w:r>
        <w:rPr>
          <w:rFonts w:hint="eastAsia" w:ascii="楷体_GB2312" w:hAnsi="楷体_GB2312" w:eastAsia="楷体_GB2312" w:cs="楷体_GB2312"/>
          <w:szCs w:val="32"/>
        </w:rPr>
        <w:t>（一）坚持均等化，推进基本公共服务共享。</w:t>
      </w:r>
    </w:p>
    <w:p>
      <w:pPr>
        <w:spacing w:line="600" w:lineRule="exact"/>
        <w:ind w:firstLine="632" w:firstLineChars="200"/>
        <w:rPr>
          <w:rFonts w:ascii="宋体" w:hAnsi="宋体" w:eastAsia="宋体" w:cs="宋体"/>
          <w:kern w:val="0"/>
          <w:szCs w:val="32"/>
        </w:rPr>
      </w:pPr>
      <w:r>
        <w:rPr>
          <w:szCs w:val="32"/>
        </w:rPr>
        <w:t>优化基本公共服务资源配置。着力</w:t>
      </w:r>
      <w:r>
        <w:rPr>
          <w:rFonts w:hint="eastAsia"/>
          <w:szCs w:val="32"/>
        </w:rPr>
        <w:t>破除</w:t>
      </w:r>
      <w:r>
        <w:rPr>
          <w:szCs w:val="32"/>
        </w:rPr>
        <w:t>城市与农村、市域与区域之间基本公共服务均等化的体制性障碍，加快城乡间、区域间基本公共服务制度对接和标准统一，优化调整社会基本公共服务资源布局，</w:t>
      </w:r>
      <w:r>
        <w:rPr>
          <w:rFonts w:hint="eastAsia" w:ascii="仿宋_GB2312" w:hAnsi="宋体" w:cs="宋体"/>
          <w:kern w:val="0"/>
          <w:szCs w:val="32"/>
        </w:rPr>
        <w:t>推进一批公共服务领域城乡联动项目。</w:t>
      </w:r>
      <w:r>
        <w:rPr>
          <w:szCs w:val="32"/>
        </w:rPr>
        <w:t>中心城区，要加强基本公共服务设施尤其是高能级服务设施布局，提升基本公共服务对人口集聚和吸纳能力的支撑作用。</w:t>
      </w:r>
      <w:r>
        <w:rPr>
          <w:rFonts w:hint="eastAsia"/>
          <w:szCs w:val="32"/>
        </w:rPr>
        <w:t>在</w:t>
      </w:r>
      <w:r>
        <w:rPr>
          <w:szCs w:val="32"/>
        </w:rPr>
        <w:t>农村、海岛和山区等</w:t>
      </w:r>
      <w:r>
        <w:rPr>
          <w:rFonts w:hint="eastAsia"/>
          <w:szCs w:val="32"/>
        </w:rPr>
        <w:t>地区</w:t>
      </w:r>
      <w:r>
        <w:rPr>
          <w:szCs w:val="32"/>
        </w:rPr>
        <w:t>，加大</w:t>
      </w:r>
      <w:r>
        <w:rPr>
          <w:rFonts w:hint="eastAsia" w:ascii="仿宋_GB2312" w:hAnsi="宋体" w:cs="宋体"/>
          <w:kern w:val="0"/>
          <w:szCs w:val="32"/>
        </w:rPr>
        <w:t>政府基本公共服务资源配置</w:t>
      </w:r>
      <w:r>
        <w:rPr>
          <w:szCs w:val="32"/>
        </w:rPr>
        <w:t>倾斜力度，</w:t>
      </w:r>
      <w:r>
        <w:rPr>
          <w:rFonts w:hint="eastAsia" w:ascii="仿宋_GB2312" w:hAnsi="宋体" w:cs="宋体"/>
          <w:kern w:val="0"/>
          <w:szCs w:val="32"/>
        </w:rPr>
        <w:t>因地制宜、科学设置农村基本公共服务半径，打造</w:t>
      </w:r>
      <w:r>
        <w:rPr>
          <w:rFonts w:eastAsia="宋体"/>
          <w:kern w:val="0"/>
          <w:szCs w:val="32"/>
        </w:rPr>
        <w:t>1.5</w:t>
      </w:r>
      <w:r>
        <w:rPr>
          <w:rFonts w:hint="eastAsia" w:ascii="仿宋_GB2312" w:hAnsi="宋体" w:cs="宋体"/>
          <w:kern w:val="0"/>
          <w:szCs w:val="32"/>
        </w:rPr>
        <w:t>小时偏远农村基本公共服务圈，补齐农村地区服务设施短板。</w:t>
      </w:r>
    </w:p>
    <w:p>
      <w:pPr>
        <w:autoSpaceDE w:val="0"/>
        <w:spacing w:line="600" w:lineRule="exact"/>
        <w:ind w:firstLine="632" w:firstLineChars="200"/>
        <w:rPr>
          <w:szCs w:val="32"/>
        </w:rPr>
      </w:pPr>
      <w:r>
        <w:rPr>
          <w:szCs w:val="32"/>
        </w:rPr>
        <w:t>扩大基本公共服务覆盖面。</w:t>
      </w:r>
      <w:r>
        <w:rPr>
          <w:kern w:val="0"/>
          <w:szCs w:val="32"/>
        </w:rPr>
        <w:t>全面落实支持农业转移人口市民化财政支持政策及动态调整机制，健全异地结算、钱随人走等机制，</w:t>
      </w:r>
      <w:r>
        <w:rPr>
          <w:szCs w:val="32"/>
        </w:rPr>
        <w:t>保障符合条件的外来人口与本地居民平等享有基本公共服务，实现基本公共服务常住人口全覆盖。引导优质资源向弱势群体倾斜，强化妇女、儿童、老年人、残疾人等群体的公共服务供给保障，进一步缩小不同群体间的基本公共服务差距。</w:t>
      </w:r>
    </w:p>
    <w:p>
      <w:pPr>
        <w:spacing w:line="600" w:lineRule="exact"/>
        <w:ind w:firstLine="632" w:firstLineChars="200"/>
        <w:rPr>
          <w:szCs w:val="32"/>
        </w:rPr>
      </w:pPr>
      <w:r>
        <w:rPr>
          <w:rFonts w:hint="eastAsia" w:ascii="仿宋_GB2312" w:hAnsi="仿宋_GB2312" w:cs="仿宋_GB2312"/>
          <w:szCs w:val="32"/>
        </w:rPr>
        <w:t>提升基本公共服务“标准化+”水平。</w:t>
      </w:r>
      <w:r>
        <w:rPr>
          <w:szCs w:val="32"/>
        </w:rPr>
        <w:t>以标准化推动基本公共服务均等化，</w:t>
      </w:r>
      <w:r>
        <w:rPr>
          <w:rFonts w:hint="eastAsia"/>
          <w:szCs w:val="32"/>
        </w:rPr>
        <w:t>建立</w:t>
      </w:r>
      <w:r>
        <w:rPr>
          <w:szCs w:val="32"/>
        </w:rPr>
        <w:t>基本公共服务</w:t>
      </w:r>
      <w:r>
        <w:rPr>
          <w:rFonts w:hint="eastAsia"/>
          <w:szCs w:val="32"/>
        </w:rPr>
        <w:t>标准，</w:t>
      </w:r>
      <w:r>
        <w:rPr>
          <w:rFonts w:hint="eastAsia" w:ascii="仿宋_GB2312" w:hAnsi="Calibri"/>
          <w:szCs w:val="32"/>
        </w:rPr>
        <w:t>明确服务对象、服务内容、服务标准、支出责任，</w:t>
      </w:r>
      <w:r>
        <w:rPr>
          <w:szCs w:val="32"/>
        </w:rPr>
        <w:t>确保基本公共服务范围和标准在城乡间、区域间、群体间基本一致。</w:t>
      </w:r>
      <w:r>
        <w:rPr>
          <w:rFonts w:hint="eastAsia" w:ascii="仿宋_GB2312" w:hAnsi="宋体" w:cs="宋体"/>
          <w:kern w:val="0"/>
          <w:szCs w:val="32"/>
        </w:rPr>
        <w:t>统筹结合经济社会发展水平和财政保障能力等因素，建立基本公共服务标准实施动态调整机制。</w:t>
      </w:r>
      <w:r>
        <w:rPr>
          <w:szCs w:val="32"/>
        </w:rPr>
        <w:t>加快制定医疗卫生、社会福利等重点行业领域标准规范。支持、鼓励开展国家级、省级基本公共服务标准化试点，探索开展区域性基本公共服务标准体系协作联动。</w:t>
      </w:r>
    </w:p>
    <w:p>
      <w:pPr>
        <w:spacing w:line="600" w:lineRule="exact"/>
        <w:ind w:firstLine="632" w:firstLineChars="200"/>
        <w:outlineLvl w:val="1"/>
        <w:rPr>
          <w:rFonts w:ascii="楷体_GB2312" w:hAnsi="楷体_GB2312" w:eastAsia="楷体_GB2312" w:cs="楷体_GB2312"/>
          <w:szCs w:val="32"/>
        </w:rPr>
      </w:pPr>
      <w:r>
        <w:rPr>
          <w:rFonts w:hint="eastAsia" w:ascii="楷体_GB2312" w:hAnsi="楷体_GB2312" w:eastAsia="楷体_GB2312" w:cs="楷体_GB2312"/>
          <w:szCs w:val="32"/>
        </w:rPr>
        <w:t>（二）坚持数字化，提升公共服务效能。</w:t>
      </w:r>
    </w:p>
    <w:p>
      <w:pPr>
        <w:spacing w:line="600" w:lineRule="exact"/>
        <w:ind w:firstLine="632" w:firstLineChars="200"/>
        <w:rPr>
          <w:rFonts w:ascii="仿宋_GB2312"/>
          <w:szCs w:val="32"/>
        </w:rPr>
      </w:pPr>
      <w:r>
        <w:rPr>
          <w:szCs w:val="32"/>
        </w:rPr>
        <w:t>加强系</w:t>
      </w:r>
      <w:r>
        <w:rPr>
          <w:rFonts w:hint="eastAsia" w:ascii="仿宋_GB2312"/>
          <w:szCs w:val="32"/>
        </w:rPr>
        <w:t>统谋划，提升社会领域数字化水平。围绕“婴育、教育、就业、居住、文化、体育、旅游、医疗、养老、救助、交通、家政”等领域，以全生命周期“一件事”改革为统领，创造性探索“一件事”集成协同场景，推动公共服务供给创新。推动跨业务流程再造、跨部门业务协同、跨行业数据共享，将群众的高频需求转化为跨部门数字社会场景应用</w:t>
      </w:r>
      <w:r>
        <w:rPr>
          <w:rFonts w:hint="eastAsia" w:ascii="仿宋_GB2312"/>
          <w:kern w:val="0"/>
          <w:szCs w:val="32"/>
        </w:rPr>
        <w:t>。</w:t>
      </w:r>
    </w:p>
    <w:p>
      <w:pPr>
        <w:spacing w:line="600" w:lineRule="exact"/>
        <w:ind w:firstLine="632" w:firstLineChars="200"/>
        <w:rPr>
          <w:szCs w:val="32"/>
        </w:rPr>
      </w:pPr>
      <w:r>
        <w:rPr>
          <w:rFonts w:hint="eastAsia" w:ascii="仿宋_GB2312"/>
          <w:szCs w:val="32"/>
        </w:rPr>
        <w:t>加强系统集成，拓展数字化服务场景应用。</w:t>
      </w:r>
      <w:r>
        <w:rPr>
          <w:rFonts w:hint="eastAsia" w:ascii="仿宋_GB2312"/>
          <w:kern w:val="0"/>
          <w:szCs w:val="32"/>
        </w:rPr>
        <w:t>开展未来社区标志性数字应用场景建设，</w:t>
      </w:r>
      <w:r>
        <w:rPr>
          <w:rFonts w:hint="eastAsia" w:ascii="仿宋_GB2312"/>
          <w:szCs w:val="32"/>
        </w:rPr>
        <w:t>率先提供数字教育、数字交通、数字旅游、数字养老、数字健康等新服务跨部门协同应用，落地未来社区九大场景，形成数字社会城市基本功能单元系统。以“浙农码”为基础，结合台州实际，创新场景应用，打造一批可复制、可推广的数字乡村应用场景典范。充分运用数字技术，加快数字就业、数字文化、数字救助、数字养老、数字旅游、数字交通等服务直达乡村，</w:t>
      </w:r>
      <w:r>
        <w:rPr>
          <w:rFonts w:hint="eastAsia" w:ascii="仿宋_GB2312"/>
          <w:kern w:val="0"/>
          <w:szCs w:val="32"/>
        </w:rPr>
        <w:t>创建乡村数字公</w:t>
      </w:r>
      <w:r>
        <w:rPr>
          <w:kern w:val="0"/>
          <w:szCs w:val="32"/>
        </w:rPr>
        <w:t>共服务典型应用。</w:t>
      </w:r>
    </w:p>
    <w:p>
      <w:pPr>
        <w:spacing w:line="600" w:lineRule="exact"/>
        <w:ind w:firstLine="632" w:firstLineChars="200"/>
        <w:outlineLvl w:val="1"/>
        <w:rPr>
          <w:rFonts w:ascii="楷体_GB2312" w:hAnsi="楷体_GB2312" w:eastAsia="楷体_GB2312" w:cs="楷体_GB2312"/>
          <w:szCs w:val="32"/>
        </w:rPr>
      </w:pPr>
      <w:r>
        <w:rPr>
          <w:rFonts w:hint="eastAsia" w:ascii="楷体_GB2312" w:hAnsi="楷体_GB2312" w:eastAsia="楷体_GB2312" w:cs="楷体_GB2312"/>
          <w:szCs w:val="32"/>
        </w:rPr>
        <w:t>（三）坚持多元化，完善公共服务供给保障。</w:t>
      </w:r>
    </w:p>
    <w:p>
      <w:pPr>
        <w:spacing w:line="600" w:lineRule="exact"/>
        <w:ind w:firstLine="632" w:firstLineChars="200"/>
        <w:rPr>
          <w:rFonts w:ascii="仿宋_GB2312" w:hAnsi="宋体" w:cs="宋体"/>
          <w:kern w:val="0"/>
          <w:szCs w:val="32"/>
        </w:rPr>
      </w:pPr>
      <w:r>
        <w:rPr>
          <w:szCs w:val="32"/>
        </w:rPr>
        <w:t>强</w:t>
      </w:r>
      <w:r>
        <w:rPr>
          <w:rFonts w:hint="eastAsia" w:ascii="仿宋_GB2312"/>
          <w:szCs w:val="32"/>
        </w:rPr>
        <w:t>化政府兜底保障。</w:t>
      </w:r>
      <w:r>
        <w:rPr>
          <w:rFonts w:hint="eastAsia" w:ascii="仿宋_GB2312"/>
          <w:kern w:val="0"/>
          <w:szCs w:val="32"/>
        </w:rPr>
        <w:t>夯实各级政府主体责任，建立与经济发展和政府财力增长相适应的基本公共服务财政支出保障制度和增长机制。</w:t>
      </w:r>
      <w:r>
        <w:rPr>
          <w:rFonts w:hint="eastAsia" w:ascii="仿宋_GB2312"/>
          <w:szCs w:val="32"/>
        </w:rPr>
        <w:t>积极争取利用上级转移支付、政策性银行贷款、专项债等，多渠道拓宽基本公共服务资金来源。</w:t>
      </w:r>
      <w:r>
        <w:rPr>
          <w:rFonts w:hint="eastAsia" w:ascii="仿宋_GB2312" w:hAnsi="宋体" w:cs="宋体"/>
          <w:kern w:val="0"/>
          <w:szCs w:val="32"/>
        </w:rPr>
        <w:t>探索成本分担和跨区域利益补偿机制，健全</w:t>
      </w:r>
      <w:r>
        <w:rPr>
          <w:rFonts w:hint="eastAsia" w:ascii="仿宋_GB2312"/>
          <w:kern w:val="0"/>
          <w:szCs w:val="32"/>
        </w:rPr>
        <w:t>“</w:t>
      </w:r>
      <w:r>
        <w:rPr>
          <w:rFonts w:hint="eastAsia" w:ascii="仿宋_GB2312" w:hAnsi="宋体" w:cs="宋体"/>
          <w:kern w:val="0"/>
          <w:szCs w:val="32"/>
        </w:rPr>
        <w:t>资源（钱）随人走</w:t>
      </w:r>
      <w:r>
        <w:rPr>
          <w:rFonts w:hint="eastAsia" w:ascii="仿宋_GB2312"/>
          <w:kern w:val="0"/>
          <w:szCs w:val="32"/>
        </w:rPr>
        <w:t>”</w:t>
      </w:r>
      <w:r>
        <w:rPr>
          <w:rFonts w:hint="eastAsia" w:ascii="仿宋_GB2312" w:hAnsi="宋体" w:cs="宋体"/>
          <w:kern w:val="0"/>
          <w:szCs w:val="32"/>
        </w:rPr>
        <w:t>基本公共服务资源投入机制。</w:t>
      </w:r>
      <w:r>
        <w:rPr>
          <w:rFonts w:hint="eastAsia" w:ascii="仿宋_GB2312"/>
          <w:szCs w:val="32"/>
        </w:rPr>
        <w:t>深化政府购买服务改革，分类制定基本公共服务购买服务目录并进行动态调整；</w:t>
      </w:r>
      <w:r>
        <w:rPr>
          <w:rFonts w:hint="eastAsia" w:ascii="仿宋_GB2312" w:hAnsi="宋体" w:cs="宋体"/>
          <w:kern w:val="0"/>
          <w:szCs w:val="32"/>
        </w:rPr>
        <w:t>完善政府购买公共服务的定价机制、招投标机制、购买流程和购买服务评估机制，规范公开公共服务购买内容、服务要求、服务流程等。</w:t>
      </w:r>
    </w:p>
    <w:p>
      <w:pPr>
        <w:spacing w:line="600" w:lineRule="exact"/>
        <w:ind w:firstLine="632" w:firstLineChars="200"/>
        <w:rPr>
          <w:rFonts w:ascii="仿宋_GB2312"/>
          <w:kern w:val="0"/>
          <w:szCs w:val="32"/>
        </w:rPr>
      </w:pPr>
      <w:r>
        <w:rPr>
          <w:rFonts w:hint="eastAsia" w:ascii="仿宋_GB2312"/>
          <w:szCs w:val="32"/>
        </w:rPr>
        <w:t>积极发挥国有经济作用。</w:t>
      </w:r>
      <w:r>
        <w:rPr>
          <w:rFonts w:hint="eastAsia" w:ascii="仿宋_GB2312"/>
          <w:kern w:val="0"/>
          <w:szCs w:val="32"/>
        </w:rPr>
        <w:t>鼓励和引导国有经济以兼并、收购、参股、合作、租赁、承包等多种形式参与公共服务发展。加大对承担公益类业务的国有资本支持。落实国有经济参与公共服务发展的各项优惠政策。</w:t>
      </w:r>
    </w:p>
    <w:p>
      <w:pPr>
        <w:spacing w:line="600" w:lineRule="exact"/>
        <w:ind w:firstLine="632" w:firstLineChars="200"/>
        <w:rPr>
          <w:rFonts w:ascii="仿宋_GB2312"/>
          <w:szCs w:val="32"/>
        </w:rPr>
      </w:pPr>
      <w:r>
        <w:rPr>
          <w:rFonts w:hint="eastAsia" w:ascii="仿宋_GB2312"/>
          <w:szCs w:val="32"/>
        </w:rPr>
        <w:t>鼓励社会力量参与。以政策制定、规划引领、环境营造、监管服务为重点，逐步扩大公共服务面向社会资本开放领域。鼓励引导民营经济通过特许经营、购买服务、股权合作等方式投资公共服务设施建设和运营，推进民办教育、托育服务、社会办医、社会办养老发展，实施一批非基本公共服务领域重点工程。建立利益共享、风险分担的合作机制，在部分领域先行探索建立“群众+市场+政府”的共筹共建模式，即群众主导、社会参与、政府补贴，增强参与公共服务提升的积极性与主动性。</w:t>
      </w:r>
    </w:p>
    <w:p>
      <w:pPr>
        <w:spacing w:line="600" w:lineRule="exact"/>
        <w:ind w:firstLine="632" w:firstLineChars="200"/>
        <w:rPr>
          <w:kern w:val="0"/>
          <w:szCs w:val="32"/>
        </w:rPr>
      </w:pPr>
      <w:r>
        <w:rPr>
          <w:rFonts w:hint="eastAsia" w:ascii="仿宋_GB2312"/>
          <w:szCs w:val="32"/>
        </w:rPr>
        <w:t>鼓励志愿服务和慈善事业。</w:t>
      </w:r>
      <w:r>
        <w:rPr>
          <w:rFonts w:hint="eastAsia" w:ascii="仿宋_GB2312"/>
          <w:kern w:val="0"/>
          <w:szCs w:val="32"/>
        </w:rPr>
        <w:t>建立社会组织、志愿者参与社会公共服务的长效保障机制，</w:t>
      </w:r>
      <w:r>
        <w:rPr>
          <w:rFonts w:hint="eastAsia" w:ascii="仿宋_GB2312"/>
          <w:szCs w:val="32"/>
        </w:rPr>
        <w:t>大力发展公共服务非营利性组织，加强提供基本公共服务的社会组织的规范管理及能力建设。加快培育发展社会工作者队伍，推动志愿服务与政府公共服务优势互补、有机融合。完善慈善力量参与社</w:t>
      </w:r>
      <w:r>
        <w:rPr>
          <w:szCs w:val="32"/>
        </w:rPr>
        <w:t>会救助机制。</w:t>
      </w:r>
    </w:p>
    <w:p>
      <w:pPr>
        <w:spacing w:line="600" w:lineRule="exact"/>
        <w:ind w:firstLine="632" w:firstLineChars="200"/>
        <w:outlineLvl w:val="0"/>
        <w:rPr>
          <w:rFonts w:ascii="黑体" w:hAnsi="黑体" w:eastAsia="黑体" w:cs="黑体"/>
          <w:bCs/>
          <w:szCs w:val="32"/>
        </w:rPr>
      </w:pPr>
      <w:r>
        <w:rPr>
          <w:rFonts w:hint="eastAsia" w:ascii="黑体" w:hAnsi="黑体" w:eastAsia="黑体" w:cs="黑体"/>
          <w:bCs/>
          <w:szCs w:val="32"/>
        </w:rPr>
        <w:t>四、重点领域</w:t>
      </w:r>
    </w:p>
    <w:p>
      <w:pPr>
        <w:spacing w:line="600" w:lineRule="exact"/>
        <w:ind w:firstLine="632" w:firstLineChars="200"/>
        <w:outlineLvl w:val="1"/>
        <w:rPr>
          <w:rFonts w:ascii="楷体_GB2312" w:hAnsi="楷体_GB2312" w:eastAsia="楷体_GB2312" w:cs="楷体_GB2312"/>
          <w:szCs w:val="32"/>
        </w:rPr>
      </w:pPr>
      <w:r>
        <w:rPr>
          <w:rFonts w:hint="eastAsia" w:ascii="楷体_GB2312" w:hAnsi="楷体_GB2312" w:eastAsia="楷体_GB2312" w:cs="楷体_GB2312"/>
          <w:szCs w:val="32"/>
        </w:rPr>
        <w:t>（一）聚焦幼有所育，完善托育照护服务。</w:t>
      </w:r>
    </w:p>
    <w:p>
      <w:pPr>
        <w:spacing w:line="600" w:lineRule="exact"/>
        <w:ind w:firstLine="632" w:firstLineChars="200"/>
        <w:rPr>
          <w:rFonts w:ascii="仿宋_GB2312"/>
          <w:kern w:val="0"/>
          <w:szCs w:val="32"/>
        </w:rPr>
      </w:pPr>
      <w:r>
        <w:rPr>
          <w:kern w:val="0"/>
          <w:szCs w:val="32"/>
        </w:rPr>
        <w:t>遵循婴幼儿成长</w:t>
      </w:r>
      <w:r>
        <w:rPr>
          <w:rFonts w:hint="eastAsia" w:ascii="仿宋_GB2312"/>
          <w:kern w:val="0"/>
          <w:szCs w:val="32"/>
        </w:rPr>
        <w:t>特点和规律，坚持政府引导、家庭为主、多方参与、安全健康、普惠可及，建立健全多元优质高效的婴幼儿照护服务体系，创新发展多样化、多层次、数字化服务模式，促进婴幼儿照护服务健康有序发展。</w:t>
      </w:r>
    </w:p>
    <w:p>
      <w:pPr>
        <w:spacing w:line="600" w:lineRule="exact"/>
        <w:ind w:firstLine="632" w:firstLineChars="200"/>
        <w:rPr>
          <w:szCs w:val="32"/>
        </w:rPr>
      </w:pPr>
      <w:r>
        <w:rPr>
          <w:rFonts w:hint="eastAsia" w:ascii="仿宋_GB2312"/>
          <w:szCs w:val="32"/>
        </w:rPr>
        <w:t>提高优孕优生优育服务水平。完善以基层医疗卫生机构为基础、妇幼健康服务机构及妇女儿童专科医院为主体、大中型综合医院为技术支撑、民营医院为补充的妇幼健康服务体系。整合孕前保健、孕期保健、住院分娩、儿童保健、儿童预防接种等内容，打造“一条龙”优生优育服务链。深入实施免费婚前医学检查和免费孕前优生检测政策，建立涵盖婚前、孕前、孕期、出生后各阶段出生缺陷防治体系，降低出生缺陷发生率。完善生育保险制度，深化生育保险和职工基本医疗保险合并实施，做好生育保险参保扩面工作。完善育儿休假制度，全面落实产假、配偶陪产假等政策，鼓励用人单位为家庭婴幼儿照护创造便利条件。推进新生儿访视和婴幼儿定期健康检查，加强婴幼儿发育监测和筛查评估，做实家庭</w:t>
      </w:r>
      <w:r>
        <w:rPr>
          <w:szCs w:val="32"/>
        </w:rPr>
        <w:t>医生签约服务。到2025年，3岁以下婴幼儿标准化发育监测筛查率达</w:t>
      </w:r>
      <w:r>
        <w:rPr>
          <w:rFonts w:hint="eastAsia"/>
          <w:szCs w:val="32"/>
        </w:rPr>
        <w:t>85%</w:t>
      </w:r>
      <w:r>
        <w:rPr>
          <w:szCs w:val="32"/>
        </w:rPr>
        <w:t>以上。规范、保障免疫规划疫苗供应，提升预防接种管理质量，到2025年，国家免疫规划疫苗接种率以乡镇为单位达</w:t>
      </w:r>
      <w:r>
        <w:rPr>
          <w:rFonts w:hint="eastAsia"/>
          <w:szCs w:val="32"/>
        </w:rPr>
        <w:t>95</w:t>
      </w:r>
      <w:r>
        <w:rPr>
          <w:szCs w:val="32"/>
        </w:rPr>
        <w:t>%以上。</w:t>
      </w:r>
    </w:p>
    <w:p>
      <w:pPr>
        <w:spacing w:line="600" w:lineRule="exact"/>
        <w:ind w:firstLine="632" w:firstLineChars="200"/>
        <w:rPr>
          <w:szCs w:val="32"/>
        </w:rPr>
      </w:pPr>
      <w:r>
        <w:rPr>
          <w:szCs w:val="32"/>
        </w:rPr>
        <w:t>完善儿童福利关爱体系。</w:t>
      </w:r>
      <w:r>
        <w:rPr>
          <w:rFonts w:hint="eastAsia"/>
          <w:szCs w:val="32"/>
        </w:rPr>
        <w:t>整合县（市、区）儿童福利服务资源，持续实施“明天计划”“添翼计划”和助学行动，提高孤残儿童和困境儿童服务保障。加强基层儿童福利设施建设，推进孤弃儿童和符合条件的困境儿童集中供养。实体运行未成年人救助保护中心，深化农村留守儿童、困境儿童服务和未成年人保护工作。加强“儿童之家”建设，解决儿童福利工作“最后一公里”的问题。完善社会组织、社工和志愿者参与农村留守儿童和困境儿童关爱保护制度。</w:t>
      </w:r>
    </w:p>
    <w:p>
      <w:pPr>
        <w:spacing w:line="600" w:lineRule="exact"/>
        <w:ind w:firstLine="632" w:firstLineChars="200"/>
        <w:rPr>
          <w:rFonts w:eastAsia="宋体"/>
          <w:kern w:val="0"/>
          <w:szCs w:val="32"/>
        </w:rPr>
      </w:pPr>
      <w:r>
        <w:rPr>
          <w:szCs w:val="32"/>
        </w:rPr>
        <w:t>完善托育服务体系。加快建立多元化、多样化、覆盖城乡的3岁以下婴幼儿照护服务体系，</w:t>
      </w:r>
      <w:r>
        <w:rPr>
          <w:kern w:val="0"/>
          <w:szCs w:val="32"/>
        </w:rPr>
        <w:t>不断创新家庭照护、社区统筹、幼儿园托班、单位自建、社会兴办等婴幼儿照护服务模式。推动女职工产假、父母育儿假调整，支持指导以家庭为主的照护服务。引导社会力量在社区兴办普惠性婴幼儿照护服务机构，培育一批普惠性婴幼儿照护示范单位。加强幼儿园托班服务供给，鼓励支持有条件的幼儿园通过新建、改建、扩建开设托班，提供婴幼儿照护服务。</w:t>
      </w:r>
      <w:r>
        <w:rPr>
          <w:szCs w:val="32"/>
        </w:rPr>
        <w:t>支持本地院校与妇幼保健机构共建婴幼儿照护服务实训基地。</w:t>
      </w:r>
      <w:r>
        <w:rPr>
          <w:kern w:val="0"/>
          <w:szCs w:val="32"/>
        </w:rPr>
        <w:t>鼓励单位为职工提供婴幼儿照护服务。到2025年，婴幼儿照护服务机构从业人员持证率达到</w:t>
      </w:r>
      <w:r>
        <w:rPr>
          <w:rFonts w:eastAsia="宋体"/>
          <w:kern w:val="0"/>
          <w:szCs w:val="32"/>
        </w:rPr>
        <w:t>80%</w:t>
      </w:r>
      <w:r>
        <w:rPr>
          <w:kern w:val="0"/>
          <w:szCs w:val="32"/>
        </w:rPr>
        <w:t>。</w:t>
      </w:r>
    </w:p>
    <w:p>
      <w:pPr>
        <w:spacing w:line="600" w:lineRule="exact"/>
        <w:ind w:firstLine="632" w:firstLineChars="200"/>
        <w:jc w:val="left"/>
        <w:rPr>
          <w:rFonts w:eastAsia="宋体"/>
          <w:kern w:val="0"/>
          <w:szCs w:val="32"/>
        </w:rPr>
      </w:pPr>
      <w:r>
        <w:rPr>
          <w:bCs/>
          <w:kern w:val="0"/>
          <w:szCs w:val="32"/>
        </w:rPr>
        <w:t>加强托育服务标准化建设。</w:t>
      </w:r>
      <w:r>
        <w:rPr>
          <w:szCs w:val="32"/>
        </w:rPr>
        <w:t>完善3岁以下婴幼儿托育机构照护服务标准，</w:t>
      </w:r>
      <w:r>
        <w:rPr>
          <w:kern w:val="0"/>
          <w:szCs w:val="32"/>
        </w:rPr>
        <w:t>健全婴幼儿照护服务机构管理规范和配套支持政策。</w:t>
      </w:r>
      <w:r>
        <w:rPr>
          <w:rFonts w:hint="eastAsia"/>
          <w:kern w:val="0"/>
          <w:szCs w:val="32"/>
        </w:rPr>
        <w:t>参照托育场所设施有关建设标准、指南，推进存量房屋和设施改造提升</w:t>
      </w:r>
      <w:r>
        <w:rPr>
          <w:kern w:val="0"/>
          <w:szCs w:val="32"/>
        </w:rPr>
        <w:t>，推进公共场所母婴设施配置全覆盖。</w:t>
      </w:r>
      <w:r>
        <w:rPr>
          <w:szCs w:val="32"/>
        </w:rPr>
        <w:t>依法实行婴幼儿照护服务工作人员职业资格准入和持证上岗制度。</w:t>
      </w:r>
      <w:r>
        <w:rPr>
          <w:kern w:val="0"/>
          <w:szCs w:val="32"/>
        </w:rPr>
        <w:t>加强从业人员学历教育和在职培训，贯通职前职后培养。</w:t>
      </w:r>
      <w:r>
        <w:rPr>
          <w:rFonts w:hint="eastAsia"/>
          <w:kern w:val="0"/>
          <w:szCs w:val="32"/>
        </w:rPr>
        <w:t>通过</w:t>
      </w:r>
      <w:r>
        <w:rPr>
          <w:kern w:val="0"/>
          <w:szCs w:val="32"/>
        </w:rPr>
        <w:t>托育备案管理平台，对托育机构申办、备案等开展信息化管理，推动育婴、保育、保健、托育管理等专业人才数据采集和共享</w:t>
      </w:r>
      <w:r>
        <w:rPr>
          <w:rFonts w:eastAsia="宋体"/>
          <w:kern w:val="0"/>
          <w:szCs w:val="32"/>
        </w:rPr>
        <w:t>。</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blHeader/>
          <w:jc w:val="center"/>
        </w:trPr>
        <w:tc>
          <w:tcPr>
            <w:tcW w:w="8822" w:type="dxa"/>
          </w:tcPr>
          <w:p>
            <w:pPr>
              <w:spacing w:line="500" w:lineRule="exact"/>
              <w:jc w:val="center"/>
              <w:rPr>
                <w:rFonts w:eastAsia="黑体"/>
                <w:sz w:val="28"/>
                <w:szCs w:val="28"/>
              </w:rPr>
            </w:pPr>
            <w:r>
              <w:rPr>
                <w:rFonts w:hAnsi="黑体" w:eastAsia="黑体"/>
                <w:sz w:val="28"/>
                <w:szCs w:val="28"/>
              </w:rPr>
              <w:t>专栏</w:t>
            </w:r>
            <w:r>
              <w:rPr>
                <w:rFonts w:eastAsia="黑体"/>
                <w:sz w:val="28"/>
                <w:szCs w:val="28"/>
              </w:rPr>
              <w:t xml:space="preserve">1  </w:t>
            </w:r>
            <w:r>
              <w:rPr>
                <w:rFonts w:hAnsi="黑体" w:eastAsia="黑体"/>
                <w:kern w:val="0"/>
                <w:sz w:val="28"/>
                <w:szCs w:val="28"/>
              </w:rPr>
              <w:t>托育照护服务提升工程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8822" w:type="dxa"/>
            <w:vAlign w:val="center"/>
          </w:tcPr>
          <w:p>
            <w:pPr>
              <w:spacing w:line="300" w:lineRule="exact"/>
              <w:ind w:firstLine="472" w:firstLineChars="200"/>
              <w:rPr>
                <w:rFonts w:eastAsia="宋体"/>
                <w:kern w:val="0"/>
                <w:sz w:val="24"/>
              </w:rPr>
            </w:pPr>
            <w:r>
              <w:rPr>
                <w:kern w:val="0"/>
                <w:sz w:val="24"/>
              </w:rPr>
              <w:t>婴幼儿照护服务提升工程。建立以家庭为基础、社区为依托、机构为补充的婴幼儿照护服务体系。到2025年，全市婴幼儿照护服务的政策体系、标准规范体系和覆盖城乡的服务体系基本健全，</w:t>
            </w:r>
            <w:r>
              <w:rPr>
                <w:rFonts w:hint="eastAsia"/>
                <w:kern w:val="0"/>
                <w:sz w:val="24"/>
              </w:rPr>
              <w:t>乡</w:t>
            </w:r>
            <w:r>
              <w:rPr>
                <w:kern w:val="0"/>
                <w:sz w:val="24"/>
              </w:rPr>
              <w:t>镇（街道）</w:t>
            </w:r>
            <w:r>
              <w:rPr>
                <w:rFonts w:eastAsia="宋体"/>
                <w:kern w:val="0"/>
                <w:sz w:val="24"/>
              </w:rPr>
              <w:t>3</w:t>
            </w:r>
            <w:r>
              <w:rPr>
                <w:kern w:val="0"/>
                <w:sz w:val="24"/>
              </w:rPr>
              <w:t>岁以下婴幼儿照护服务机构覆盖率达</w:t>
            </w:r>
            <w:r>
              <w:rPr>
                <w:rFonts w:eastAsia="宋体"/>
                <w:kern w:val="0"/>
                <w:sz w:val="24"/>
              </w:rPr>
              <w:t>50%</w:t>
            </w:r>
            <w:r>
              <w:rPr>
                <w:kern w:val="0"/>
                <w:sz w:val="24"/>
              </w:rPr>
              <w:t>以上。婴幼儿健康管理率达到95%以上，婴幼儿家长科学育儿知识普及率达到</w:t>
            </w:r>
            <w:r>
              <w:rPr>
                <w:rFonts w:hint="eastAsia"/>
                <w:kern w:val="0"/>
                <w:sz w:val="24"/>
              </w:rPr>
              <w:t>85%</w:t>
            </w:r>
            <w:r>
              <w:rPr>
                <w:kern w:val="0"/>
                <w:sz w:val="24"/>
              </w:rPr>
              <w:t>以上，每千人</w:t>
            </w:r>
            <w:r>
              <w:rPr>
                <w:rFonts w:hint="eastAsia"/>
                <w:kern w:val="0"/>
                <w:sz w:val="24"/>
              </w:rPr>
              <w:t>口</w:t>
            </w:r>
            <w:r>
              <w:rPr>
                <w:kern w:val="0"/>
                <w:sz w:val="24"/>
              </w:rPr>
              <w:t>拥有</w:t>
            </w:r>
            <w:r>
              <w:rPr>
                <w:rFonts w:hint="eastAsia"/>
                <w:kern w:val="0"/>
                <w:sz w:val="24"/>
              </w:rPr>
              <w:t>3岁以下</w:t>
            </w:r>
            <w:r>
              <w:rPr>
                <w:kern w:val="0"/>
                <w:sz w:val="24"/>
              </w:rPr>
              <w:t>婴幼儿托位</w:t>
            </w:r>
            <w:r>
              <w:rPr>
                <w:rFonts w:hint="eastAsia"/>
                <w:kern w:val="0"/>
                <w:sz w:val="24"/>
              </w:rPr>
              <w:t>数</w:t>
            </w:r>
            <w:r>
              <w:rPr>
                <w:kern w:val="0"/>
                <w:sz w:val="24"/>
              </w:rPr>
              <w:t>4.5</w:t>
            </w:r>
            <w:r>
              <w:rPr>
                <w:rFonts w:hint="eastAsia"/>
                <w:kern w:val="0"/>
                <w:sz w:val="24"/>
              </w:rPr>
              <w:t>个</w:t>
            </w:r>
            <w:r>
              <w:rPr>
                <w:kern w:val="0"/>
                <w:sz w:val="24"/>
              </w:rPr>
              <w:t>。</w:t>
            </w:r>
          </w:p>
          <w:p>
            <w:pPr>
              <w:spacing w:line="300" w:lineRule="exact"/>
              <w:ind w:firstLine="472" w:firstLineChars="200"/>
              <w:rPr>
                <w:kern w:val="0"/>
                <w:sz w:val="24"/>
              </w:rPr>
            </w:pPr>
            <w:r>
              <w:rPr>
                <w:kern w:val="0"/>
                <w:sz w:val="24"/>
              </w:rPr>
              <w:t>婴幼儿早期发展指导工程。贯彻母婴设施有关标准，</w:t>
            </w:r>
            <w:r>
              <w:rPr>
                <w:rFonts w:hint="eastAsia"/>
                <w:kern w:val="0"/>
                <w:sz w:val="24"/>
              </w:rPr>
              <w:t>加大公共场所母婴设施建设力度，开展母婴室省级标准化建设，</w:t>
            </w:r>
            <w:r>
              <w:rPr>
                <w:kern w:val="0"/>
                <w:sz w:val="24"/>
              </w:rPr>
              <w:t>二级以上医院全面配置标准母婴室。</w:t>
            </w:r>
            <w:r>
              <w:rPr>
                <w:rFonts w:hint="eastAsia"/>
                <w:kern w:val="0"/>
                <w:sz w:val="24"/>
              </w:rPr>
              <w:t>提升</w:t>
            </w:r>
            <w:r>
              <w:rPr>
                <w:kern w:val="0"/>
                <w:sz w:val="24"/>
              </w:rPr>
              <w:t>妇幼保健机构</w:t>
            </w:r>
            <w:r>
              <w:rPr>
                <w:rFonts w:hint="eastAsia"/>
                <w:kern w:val="0"/>
                <w:sz w:val="24"/>
              </w:rPr>
              <w:t>，加强</w:t>
            </w:r>
            <w:r>
              <w:rPr>
                <w:kern w:val="0"/>
                <w:sz w:val="24"/>
              </w:rPr>
              <w:t>各级危重孕产妇、新生儿救治中心标准化建设，推动建设台州市妇女儿童医院二期项目。</w:t>
            </w:r>
          </w:p>
          <w:p>
            <w:pPr>
              <w:spacing w:line="300" w:lineRule="exact"/>
              <w:ind w:firstLine="472" w:firstLineChars="200"/>
              <w:rPr>
                <w:kern w:val="0"/>
                <w:szCs w:val="32"/>
              </w:rPr>
            </w:pPr>
            <w:r>
              <w:rPr>
                <w:rFonts w:hint="eastAsia" w:ascii="仿宋_GB2312"/>
                <w:kern w:val="0"/>
                <w:sz w:val="24"/>
              </w:rPr>
              <w:t>“儿童之家”建设工程。依托村（社区）服务中心、新时代文明实践站、社区文化家园、农村文化礼堂等设施，推动与乡村学校少年宫、“春泥计划”实施</w:t>
            </w:r>
            <w:r>
              <w:rPr>
                <w:kern w:val="0"/>
                <w:sz w:val="24"/>
              </w:rPr>
              <w:t>点、农家书屋等阵地资</w:t>
            </w:r>
            <w:r>
              <w:rPr>
                <w:rFonts w:hint="eastAsia" w:ascii="仿宋_GB2312"/>
                <w:kern w:val="0"/>
                <w:sz w:val="24"/>
              </w:rPr>
              <w:t>源衔接，以“</w:t>
            </w:r>
            <w:r>
              <w:rPr>
                <w:kern w:val="0"/>
                <w:sz w:val="24"/>
              </w:rPr>
              <w:t>1+N</w:t>
            </w:r>
            <w:r>
              <w:rPr>
                <w:rFonts w:hint="eastAsia" w:ascii="仿宋_GB2312"/>
                <w:kern w:val="0"/>
                <w:sz w:val="24"/>
              </w:rPr>
              <w:t>”的方式</w:t>
            </w:r>
            <w:r>
              <w:rPr>
                <w:kern w:val="0"/>
                <w:sz w:val="24"/>
              </w:rPr>
              <w:t>（即1个示范性</w:t>
            </w:r>
            <w:r>
              <w:rPr>
                <w:rFonts w:hint="eastAsia"/>
                <w:kern w:val="0"/>
                <w:sz w:val="24"/>
              </w:rPr>
              <w:t>“</w:t>
            </w:r>
            <w:r>
              <w:rPr>
                <w:kern w:val="0"/>
                <w:sz w:val="24"/>
              </w:rPr>
              <w:t>儿童之家</w:t>
            </w:r>
            <w:r>
              <w:rPr>
                <w:rFonts w:hint="eastAsia"/>
                <w:kern w:val="0"/>
                <w:sz w:val="24"/>
              </w:rPr>
              <w:t>”</w:t>
            </w:r>
            <w:r>
              <w:rPr>
                <w:kern w:val="0"/>
                <w:sz w:val="24"/>
              </w:rPr>
              <w:t>联结N个基础型</w:t>
            </w:r>
            <w:r>
              <w:rPr>
                <w:rFonts w:hint="eastAsia"/>
                <w:kern w:val="0"/>
                <w:sz w:val="24"/>
              </w:rPr>
              <w:t>“</w:t>
            </w:r>
            <w:r>
              <w:rPr>
                <w:kern w:val="0"/>
                <w:sz w:val="24"/>
              </w:rPr>
              <w:t>儿童之家</w:t>
            </w:r>
            <w:r>
              <w:rPr>
                <w:rFonts w:hint="eastAsia"/>
                <w:kern w:val="0"/>
                <w:sz w:val="24"/>
              </w:rPr>
              <w:t>”</w:t>
            </w:r>
            <w:r>
              <w:rPr>
                <w:kern w:val="0"/>
                <w:sz w:val="24"/>
              </w:rPr>
              <w:t>），在全市创建500家示范</w:t>
            </w:r>
            <w:r>
              <w:rPr>
                <w:rFonts w:hint="eastAsia"/>
                <w:kern w:val="0"/>
                <w:sz w:val="24"/>
              </w:rPr>
              <w:t>“</w:t>
            </w:r>
            <w:r>
              <w:rPr>
                <w:kern w:val="0"/>
                <w:sz w:val="24"/>
              </w:rPr>
              <w:t>儿童之家</w:t>
            </w:r>
            <w:r>
              <w:rPr>
                <w:rFonts w:hint="eastAsia"/>
                <w:kern w:val="0"/>
                <w:sz w:val="24"/>
              </w:rPr>
              <w:t>”</w:t>
            </w:r>
            <w:r>
              <w:rPr>
                <w:kern w:val="0"/>
                <w:sz w:val="24"/>
              </w:rPr>
              <w:t>，</w:t>
            </w:r>
            <w:r>
              <w:rPr>
                <w:rFonts w:hint="eastAsia"/>
                <w:kern w:val="0"/>
                <w:sz w:val="24"/>
              </w:rPr>
              <w:t>“</w:t>
            </w:r>
            <w:r>
              <w:rPr>
                <w:kern w:val="0"/>
                <w:sz w:val="24"/>
              </w:rPr>
              <w:t>儿童之家</w:t>
            </w:r>
            <w:r>
              <w:rPr>
                <w:rFonts w:hint="eastAsia"/>
                <w:kern w:val="0"/>
                <w:sz w:val="24"/>
              </w:rPr>
              <w:t>”</w:t>
            </w:r>
            <w:r>
              <w:rPr>
                <w:kern w:val="0"/>
                <w:sz w:val="24"/>
              </w:rPr>
              <w:t>服务全覆盖。</w:t>
            </w:r>
          </w:p>
        </w:tc>
      </w:tr>
    </w:tbl>
    <w:p>
      <w:pPr>
        <w:spacing w:line="600" w:lineRule="exact"/>
        <w:ind w:firstLine="632" w:firstLineChars="200"/>
        <w:outlineLvl w:val="1"/>
        <w:rPr>
          <w:rFonts w:ascii="楷体_GB2312" w:hAnsi="楷体_GB2312" w:eastAsia="楷体_GB2312" w:cs="楷体_GB2312"/>
          <w:szCs w:val="32"/>
        </w:rPr>
      </w:pPr>
      <w:r>
        <w:rPr>
          <w:rFonts w:ascii="楷体_GB2312" w:hAnsi="楷体_GB2312" w:eastAsia="楷体_GB2312" w:cs="楷体_GB2312"/>
          <w:szCs w:val="32"/>
        </w:rPr>
        <w:t>（二）聚焦学有所教，完善现代教育服务</w:t>
      </w:r>
      <w:r>
        <w:rPr>
          <w:rFonts w:hint="eastAsia" w:ascii="楷体_GB2312" w:hAnsi="楷体_GB2312" w:eastAsia="楷体_GB2312" w:cs="楷体_GB2312"/>
          <w:szCs w:val="32"/>
        </w:rPr>
        <w:t>。</w:t>
      </w:r>
    </w:p>
    <w:p>
      <w:pPr>
        <w:widowControl/>
        <w:spacing w:line="600" w:lineRule="exact"/>
        <w:ind w:firstLine="632" w:firstLineChars="200"/>
        <w:rPr>
          <w:kern w:val="0"/>
          <w:szCs w:val="32"/>
        </w:rPr>
      </w:pPr>
      <w:r>
        <w:rPr>
          <w:kern w:val="0"/>
          <w:szCs w:val="32"/>
        </w:rPr>
        <w:t>坚持育人为本、立德树人，以更加公平和更高质量为主线，构建具</w:t>
      </w:r>
      <w:r>
        <w:rPr>
          <w:rFonts w:hint="eastAsia"/>
          <w:kern w:val="0"/>
          <w:szCs w:val="32"/>
        </w:rPr>
        <w:t>有</w:t>
      </w:r>
      <w:r>
        <w:rPr>
          <w:kern w:val="0"/>
          <w:szCs w:val="32"/>
        </w:rPr>
        <w:t>台州特色的现代教育体系，多渠道增加优质教育资源供给，让每一位适龄人口得到更公平更优质的教育。</w:t>
      </w:r>
    </w:p>
    <w:p>
      <w:pPr>
        <w:spacing w:line="600" w:lineRule="exact"/>
        <w:ind w:firstLine="632" w:firstLineChars="200"/>
        <w:rPr>
          <w:szCs w:val="32"/>
        </w:rPr>
      </w:pPr>
      <w:r>
        <w:rPr>
          <w:rFonts w:hint="eastAsia"/>
          <w:szCs w:val="32"/>
        </w:rPr>
        <w:t>推进</w:t>
      </w:r>
      <w:r>
        <w:rPr>
          <w:szCs w:val="32"/>
        </w:rPr>
        <w:t>学前教育</w:t>
      </w:r>
      <w:r>
        <w:rPr>
          <w:rFonts w:hint="eastAsia"/>
          <w:szCs w:val="32"/>
        </w:rPr>
        <w:t>“扩容提质”</w:t>
      </w:r>
      <w:r>
        <w:rPr>
          <w:szCs w:val="32"/>
        </w:rPr>
        <w:t>。推进国家学前教育普及普惠县创建。加大学前教育经费保障力度，加强城镇小区配套幼儿园建设，全面完成农村薄弱幼儿园改造提升工程</w:t>
      </w:r>
      <w:r>
        <w:rPr>
          <w:rFonts w:hint="eastAsia"/>
          <w:szCs w:val="32"/>
        </w:rPr>
        <w:t>，</w:t>
      </w:r>
      <w:r>
        <w:rPr>
          <w:szCs w:val="32"/>
        </w:rPr>
        <w:t>扶持普惠性民办幼儿园发展。到2025年，全市财政性学前教育经费占同级财政性教育经费比例达6.5%以上，学前教育普及普惠县</w:t>
      </w:r>
      <w:r>
        <w:rPr>
          <w:rFonts w:hint="eastAsia"/>
          <w:szCs w:val="32"/>
        </w:rPr>
        <w:t>创建</w:t>
      </w:r>
      <w:r>
        <w:rPr>
          <w:szCs w:val="32"/>
        </w:rPr>
        <w:t>率达100%</w:t>
      </w:r>
      <w:r>
        <w:rPr>
          <w:rFonts w:hint="eastAsia"/>
          <w:szCs w:val="32"/>
        </w:rPr>
        <w:t>，</w:t>
      </w:r>
      <w:r>
        <w:rPr>
          <w:szCs w:val="32"/>
        </w:rPr>
        <w:t>新（改、扩）建二级以上幼儿园190所</w:t>
      </w:r>
      <w:r>
        <w:rPr>
          <w:rFonts w:hint="eastAsia"/>
          <w:szCs w:val="32"/>
        </w:rPr>
        <w:t>，</w:t>
      </w:r>
      <w:r>
        <w:rPr>
          <w:szCs w:val="32"/>
        </w:rPr>
        <w:t>公办幼儿园在园幼儿占比达</w:t>
      </w:r>
      <w:r>
        <w:rPr>
          <w:rFonts w:hint="eastAsia"/>
          <w:szCs w:val="32"/>
        </w:rPr>
        <w:t>6</w:t>
      </w:r>
      <w:r>
        <w:rPr>
          <w:szCs w:val="32"/>
        </w:rPr>
        <w:t>0%以上</w:t>
      </w:r>
      <w:r>
        <w:rPr>
          <w:rFonts w:hint="eastAsia"/>
          <w:szCs w:val="32"/>
        </w:rPr>
        <w:t>，</w:t>
      </w:r>
      <w:r>
        <w:rPr>
          <w:szCs w:val="32"/>
        </w:rPr>
        <w:t>普惠性幼儿园在园</w:t>
      </w:r>
      <w:r>
        <w:rPr>
          <w:rFonts w:hint="eastAsia"/>
          <w:szCs w:val="32"/>
        </w:rPr>
        <w:t>幼儿</w:t>
      </w:r>
      <w:r>
        <w:rPr>
          <w:szCs w:val="32"/>
        </w:rPr>
        <w:t>占比达</w:t>
      </w:r>
      <w:r>
        <w:rPr>
          <w:rFonts w:hint="eastAsia"/>
          <w:szCs w:val="32"/>
        </w:rPr>
        <w:t>90</w:t>
      </w:r>
      <w:r>
        <w:rPr>
          <w:szCs w:val="32"/>
        </w:rPr>
        <w:t>%以上。</w:t>
      </w:r>
    </w:p>
    <w:p>
      <w:pPr>
        <w:spacing w:line="600" w:lineRule="exact"/>
        <w:ind w:firstLine="632" w:firstLineChars="200"/>
        <w:rPr>
          <w:sz w:val="24"/>
        </w:rPr>
      </w:pPr>
      <w:r>
        <w:rPr>
          <w:szCs w:val="32"/>
        </w:rPr>
        <w:t>促进义务教育</w:t>
      </w:r>
      <w:r>
        <w:rPr>
          <w:rFonts w:hint="eastAsia"/>
          <w:szCs w:val="32"/>
        </w:rPr>
        <w:t>“整体优化”</w:t>
      </w:r>
      <w:r>
        <w:rPr>
          <w:szCs w:val="32"/>
        </w:rPr>
        <w:t>。</w:t>
      </w:r>
      <w:r>
        <w:rPr>
          <w:rFonts w:hint="eastAsia"/>
          <w:szCs w:val="32"/>
        </w:rPr>
        <w:t>推进</w:t>
      </w:r>
      <w:r>
        <w:rPr>
          <w:szCs w:val="32"/>
        </w:rPr>
        <w:t>国家义务教育优质均衡发展县创建。强化义务教育标准化</w:t>
      </w:r>
      <w:r>
        <w:rPr>
          <w:rFonts w:hint="eastAsia" w:ascii="仿宋_GB2312"/>
          <w:szCs w:val="32"/>
        </w:rPr>
        <w:t>学校建设。开展乡村名校建设，推动所有农村学校与城区优质学校组建城乡教育共同体，全面推进“互联网+义务教育”，完善中小学</w:t>
      </w:r>
      <w:r>
        <w:rPr>
          <w:szCs w:val="32"/>
        </w:rPr>
        <w:t>校长、教师交流制度</w:t>
      </w:r>
      <w:r>
        <w:rPr>
          <w:rFonts w:hint="eastAsia"/>
          <w:szCs w:val="32"/>
        </w:rPr>
        <w:t>。实施随迁子女“蓝天教育”计划，大幅增加随迁子女义务教育公办学位供给。到</w:t>
      </w:r>
      <w:r>
        <w:rPr>
          <w:szCs w:val="32"/>
        </w:rPr>
        <w:t>2025</w:t>
      </w:r>
      <w:r>
        <w:rPr>
          <w:rFonts w:hint="eastAsia"/>
          <w:szCs w:val="32"/>
        </w:rPr>
        <w:t>年，二分之一以上县（市、区）创成全国义务教育优质均衡发展县（市、区），义务教育标准化学校占比达</w:t>
      </w:r>
      <w:r>
        <w:rPr>
          <w:szCs w:val="32"/>
        </w:rPr>
        <w:t>100%</w:t>
      </w:r>
      <w:r>
        <w:rPr>
          <w:rFonts w:hint="eastAsia"/>
          <w:szCs w:val="32"/>
        </w:rPr>
        <w:t>，</w:t>
      </w:r>
      <w:r>
        <w:rPr>
          <w:szCs w:val="32"/>
        </w:rPr>
        <w:t>义务教育质量进入全省第二方阵前列。</w:t>
      </w:r>
    </w:p>
    <w:p>
      <w:pPr>
        <w:spacing w:line="600" w:lineRule="exact"/>
        <w:ind w:firstLine="632" w:firstLineChars="200"/>
        <w:rPr>
          <w:rFonts w:ascii="仿宋_GB2312"/>
          <w:szCs w:val="32"/>
        </w:rPr>
      </w:pPr>
      <w:r>
        <w:rPr>
          <w:rFonts w:hint="eastAsia"/>
          <w:szCs w:val="32"/>
        </w:rPr>
        <w:t>推进</w:t>
      </w:r>
      <w:r>
        <w:rPr>
          <w:szCs w:val="32"/>
        </w:rPr>
        <w:t>高中</w:t>
      </w:r>
      <w:r>
        <w:rPr>
          <w:rFonts w:hint="eastAsia"/>
          <w:szCs w:val="32"/>
        </w:rPr>
        <w:t>“固本强基”</w:t>
      </w:r>
      <w:r>
        <w:rPr>
          <w:szCs w:val="32"/>
        </w:rPr>
        <w:t>。全面优化高中阶段校网调整，积极改造薄弱高中，全力发展学校共同体。建成100所体育特色学校</w:t>
      </w:r>
      <w:r>
        <w:rPr>
          <w:rFonts w:hint="eastAsia"/>
          <w:szCs w:val="32"/>
        </w:rPr>
        <w:t>。制定并实施台州市市直高中办</w:t>
      </w:r>
      <w:r>
        <w:rPr>
          <w:rFonts w:hint="eastAsia" w:ascii="仿宋_GB2312"/>
          <w:szCs w:val="32"/>
        </w:rPr>
        <w:t>学质量最高地构筑行动，提高市区教育首位度。深化高中课程改革。推进中职教育高质量发展，建设台州湾新区现代职业教育创业园区，加强“双师型”教师队伍建设。支持台州技师学院建成“国家重点、省内一流”现代</w:t>
      </w:r>
      <w:r>
        <w:rPr>
          <w:szCs w:val="32"/>
        </w:rPr>
        <w:t>化技师学院，培育10所国</w:t>
      </w:r>
      <w:r>
        <w:rPr>
          <w:rFonts w:hint="eastAsia" w:ascii="仿宋_GB2312"/>
          <w:szCs w:val="32"/>
        </w:rPr>
        <w:t>家级“双优”中职学校，支</w:t>
      </w:r>
      <w:r>
        <w:rPr>
          <w:szCs w:val="32"/>
        </w:rPr>
        <w:t>持建设15所</w:t>
      </w:r>
      <w:r>
        <w:rPr>
          <w:rFonts w:hint="eastAsia" w:ascii="仿宋_GB2312"/>
          <w:szCs w:val="32"/>
        </w:rPr>
        <w:t>省“双高”中职学校，加强中职教育资源统筹力度。</w:t>
      </w:r>
    </w:p>
    <w:p>
      <w:pPr>
        <w:spacing w:line="600" w:lineRule="exact"/>
        <w:ind w:firstLine="632" w:firstLineChars="200"/>
        <w:rPr>
          <w:szCs w:val="32"/>
        </w:rPr>
      </w:pPr>
      <w:r>
        <w:rPr>
          <w:rFonts w:hint="eastAsia" w:ascii="仿宋_GB2312"/>
          <w:szCs w:val="32"/>
        </w:rPr>
        <w:t>促进高等教育“转型升级”。加大高校重要领域和重大项目投入，支持台州学院创建台州大学。深化国家温台职业教育创新高地城市试点建设，积极推动台州职业技术学院、台州科技职业学院建成省“双高”高职院校和试办职业教育本科专业，努力促进浙江汽车职业技术学院扩容提质，大力支持台州广播电视大学创建全省一流开放大学。建设高水平学科专业体系，加强一流专业建设。深化产教融合，加强校企合作。深化与国内外高等院校的战略合作，谋求引进若干“双一流”高校来台州设立分校。“十四五”期间，省级登峰学科</w:t>
      </w:r>
      <w:r>
        <w:rPr>
          <w:rFonts w:hint="eastAsia"/>
          <w:szCs w:val="32"/>
        </w:rPr>
        <w:t>、优势特色学科建设走在全省前列。</w:t>
      </w:r>
    </w:p>
    <w:p>
      <w:pPr>
        <w:spacing w:line="600" w:lineRule="exact"/>
        <w:ind w:firstLine="632" w:firstLineChars="200"/>
        <w:rPr>
          <w:rFonts w:ascii="仿宋_GB2312"/>
          <w:kern w:val="0"/>
          <w:szCs w:val="32"/>
        </w:rPr>
      </w:pPr>
      <w:r>
        <w:rPr>
          <w:szCs w:val="32"/>
        </w:rPr>
        <w:t>健</w:t>
      </w:r>
      <w:r>
        <w:rPr>
          <w:rFonts w:hint="eastAsia" w:ascii="仿宋_GB2312"/>
          <w:szCs w:val="32"/>
        </w:rPr>
        <w:t>全“服务全民”终身教育。统筹利用职业教育资源，建成四级“立体化、全覆盖”的社区教育网络，鼓励学校面向多种社会群体开展多种形式的继续教育、社区教育和老年教育，强化学校的终身教育功能。促进学习资源开放共享，建立多形式学习成果认定转换机制，创新高等教育自学考试学分认定和转换方式，有序开展学历证书和职业技能等级证书所体现学习成果的认定、积累和转换，构建适应终身教育学习转换通道</w:t>
      </w:r>
      <w:r>
        <w:rPr>
          <w:rFonts w:hint="eastAsia" w:ascii="仿宋_GB2312"/>
          <w:kern w:val="0"/>
          <w:szCs w:val="32"/>
        </w:rPr>
        <w:t>。</w:t>
      </w:r>
    </w:p>
    <w:p>
      <w:pPr>
        <w:spacing w:line="600" w:lineRule="exact"/>
        <w:ind w:firstLine="632" w:firstLineChars="200"/>
        <w:rPr>
          <w:kern w:val="0"/>
          <w:szCs w:val="32"/>
        </w:rPr>
      </w:pPr>
      <w:r>
        <w:rPr>
          <w:rFonts w:hint="eastAsia" w:ascii="仿宋_GB2312"/>
          <w:szCs w:val="32"/>
        </w:rPr>
        <w:t>发展“全程融通”特殊教育。建立健全</w:t>
      </w:r>
      <w:r>
        <w:rPr>
          <w:rFonts w:hint="eastAsia" w:ascii="仿宋_GB2312"/>
          <w:bCs/>
          <w:kern w:val="0"/>
          <w:szCs w:val="32"/>
        </w:rPr>
        <w:t>布局合理、学段衔接、特普互补、普职融通、医教结合的特殊教育体系</w:t>
      </w:r>
      <w:r>
        <w:rPr>
          <w:rFonts w:hint="eastAsia" w:ascii="仿宋_GB2312"/>
          <w:szCs w:val="32"/>
        </w:rPr>
        <w:t>。</w:t>
      </w:r>
      <w:r>
        <w:rPr>
          <w:rFonts w:hint="eastAsia" w:ascii="仿宋_GB2312"/>
          <w:bCs/>
          <w:kern w:val="0"/>
          <w:szCs w:val="32"/>
        </w:rPr>
        <w:t>完成特殊教育学校标准化建设，完善学前和高中段特殊教育布局，全面实施“特教学校+卫星班”融合教育模式。</w:t>
      </w:r>
      <w:r>
        <w:rPr>
          <w:rFonts w:hint="eastAsia" w:ascii="仿宋_GB2312"/>
          <w:szCs w:val="32"/>
        </w:rPr>
        <w:t>增加特殊教育投入，改善资源教室条件，大力支持建设适合残疾人就业的专业及实训平台。建设特殊教育公共服务平台、“特殊学校+康复”模</w:t>
      </w:r>
      <w:r>
        <w:rPr>
          <w:szCs w:val="32"/>
        </w:rPr>
        <w:t>式。</w:t>
      </w:r>
      <w:r>
        <w:rPr>
          <w:kern w:val="0"/>
          <w:szCs w:val="32"/>
        </w:rPr>
        <w:t>到2025年，持证适龄残疾儿童少年学前段入学率达</w:t>
      </w:r>
      <w:r>
        <w:rPr>
          <w:rFonts w:hint="eastAsia"/>
          <w:kern w:val="0"/>
          <w:szCs w:val="32"/>
        </w:rPr>
        <w:t>97</w:t>
      </w:r>
      <w:r>
        <w:rPr>
          <w:kern w:val="0"/>
          <w:szCs w:val="32"/>
        </w:rPr>
        <w:t>%以上、义务段入学率达</w:t>
      </w:r>
      <w:r>
        <w:rPr>
          <w:rFonts w:hint="eastAsia"/>
          <w:kern w:val="0"/>
          <w:szCs w:val="32"/>
        </w:rPr>
        <w:t>99</w:t>
      </w:r>
      <w:r>
        <w:rPr>
          <w:kern w:val="0"/>
          <w:szCs w:val="32"/>
        </w:rPr>
        <w:t>%以上、高中段入学率达</w:t>
      </w:r>
      <w:r>
        <w:rPr>
          <w:rFonts w:hint="eastAsia"/>
          <w:kern w:val="0"/>
          <w:szCs w:val="32"/>
        </w:rPr>
        <w:t>94</w:t>
      </w:r>
      <w:r>
        <w:rPr>
          <w:kern w:val="0"/>
          <w:szCs w:val="32"/>
        </w:rPr>
        <w:t>%以上。</w:t>
      </w:r>
    </w:p>
    <w:p>
      <w:pPr>
        <w:spacing w:line="600" w:lineRule="exact"/>
        <w:ind w:firstLine="632" w:firstLineChars="200"/>
        <w:outlineLvl w:val="1"/>
        <w:rPr>
          <w:rFonts w:ascii="楷体_GB2312" w:hAnsi="楷体_GB2312" w:eastAsia="楷体_GB2312" w:cs="楷体_GB2312"/>
          <w:szCs w:val="32"/>
        </w:rPr>
      </w:pPr>
      <w:r>
        <w:rPr>
          <w:rFonts w:ascii="楷体_GB2312" w:hAnsi="楷体_GB2312" w:eastAsia="楷体_GB2312" w:cs="楷体_GB2312"/>
          <w:szCs w:val="32"/>
        </w:rPr>
        <w:t>（三）聚焦劳有所得，完善就业创业服务</w:t>
      </w:r>
      <w:r>
        <w:rPr>
          <w:rFonts w:hint="eastAsia" w:ascii="楷体_GB2312" w:hAnsi="楷体_GB2312" w:eastAsia="楷体_GB2312" w:cs="楷体_GB2312"/>
          <w:szCs w:val="32"/>
        </w:rPr>
        <w:t>。</w:t>
      </w:r>
    </w:p>
    <w:p>
      <w:pPr>
        <w:widowControl/>
        <w:spacing w:line="600" w:lineRule="exact"/>
        <w:ind w:firstLine="632" w:firstLineChars="200"/>
        <w:rPr>
          <w:kern w:val="0"/>
          <w:szCs w:val="32"/>
        </w:rPr>
      </w:pPr>
      <w:r>
        <w:rPr>
          <w:kern w:val="0"/>
          <w:szCs w:val="32"/>
        </w:rPr>
        <w:t>坚持就业优先，以创造更多就业岗位和稳定现有岗位并重，积极开展技能培训服务，强化劳动权益保护，以创业带动就业，提升数字化创</w:t>
      </w:r>
      <w:r>
        <w:rPr>
          <w:rFonts w:hint="eastAsia"/>
          <w:kern w:val="0"/>
          <w:szCs w:val="32"/>
        </w:rPr>
        <w:t>业</w:t>
      </w:r>
      <w:r>
        <w:rPr>
          <w:kern w:val="0"/>
          <w:szCs w:val="32"/>
        </w:rPr>
        <w:t>就业服务，实现更加充分更高质量的就业。</w:t>
      </w:r>
    </w:p>
    <w:p>
      <w:pPr>
        <w:spacing w:line="600" w:lineRule="exact"/>
        <w:ind w:firstLine="632" w:firstLineChars="200"/>
        <w:rPr>
          <w:rFonts w:ascii="仿宋_GB2312"/>
          <w:szCs w:val="32"/>
        </w:rPr>
      </w:pPr>
      <w:r>
        <w:rPr>
          <w:rFonts w:hint="eastAsia"/>
          <w:kern w:val="0"/>
          <w:szCs w:val="32"/>
        </w:rPr>
        <w:t>健全高质量就业政策服务体系。深入推进高校毕业生就业创业助飞计划，开发更多适合高校毕业生的高质量就业岗位，引导和鼓励高校毕业生到基层和中小微企业就业。完善重点群体就业支持体系，加强就业困难人员培训、托底安置和帮扶，统筹做好军队转业干部和退役士兵、残疾人等特定群体的就业创业工作。推动深入实施助力乡村振兴战略计划，在乡返乡创业和农村富余劳动力就地就近就业。完善促进创业带动就业机制，大力培育和推进大学生创业园、创业街等一批创业孵化载体高质量建设，支持劳动者自主创业，重点扶持重点人群创业。完善多渠道就业保障体系，规范发展新就业形态，支持各种方式灵活就业。健全公共就业服务体系，推进公共就业服务全程信息化，探索构建市县两级失业监测预警和应急处置工作机制。“十四五”时期，</w:t>
      </w:r>
      <w:r>
        <w:rPr>
          <w:kern w:val="0"/>
          <w:szCs w:val="32"/>
        </w:rPr>
        <w:t>新增城</w:t>
      </w:r>
      <w:r>
        <w:rPr>
          <w:szCs w:val="32"/>
        </w:rPr>
        <w:t>镇就业40万人以上。</w:t>
      </w:r>
    </w:p>
    <w:p>
      <w:pPr>
        <w:spacing w:line="600" w:lineRule="exact"/>
        <w:ind w:firstLine="632" w:firstLineChars="200"/>
        <w:rPr>
          <w:rFonts w:ascii="仿宋_GB2312" w:hAnsi="Calibri"/>
          <w:szCs w:val="32"/>
        </w:rPr>
      </w:pPr>
      <w:r>
        <w:rPr>
          <w:rFonts w:hint="eastAsia" w:ascii="仿宋_GB2312"/>
          <w:szCs w:val="32"/>
        </w:rPr>
        <w:t>积极开展技能培训服务。</w:t>
      </w:r>
      <w:r>
        <w:rPr>
          <w:rFonts w:hint="eastAsia" w:ascii="仿宋_GB2312" w:hAnsi="Calibri"/>
          <w:kern w:val="0"/>
          <w:szCs w:val="32"/>
          <w:lang w:val="zh-CN"/>
        </w:rPr>
        <w:t>实施政府补贴培训专业指导目录。</w:t>
      </w:r>
      <w:r>
        <w:rPr>
          <w:rFonts w:hint="eastAsia" w:ascii="仿宋_GB2312"/>
          <w:szCs w:val="32"/>
        </w:rPr>
        <w:t>建立以职业技工院校、企业和各类职业培训机构为载体的覆盖城乡劳动者的职业培训体系，</w:t>
      </w:r>
      <w:r>
        <w:rPr>
          <w:rFonts w:hint="eastAsia" w:ascii="仿宋_GB2312" w:hAnsi="Calibri"/>
          <w:kern w:val="0"/>
          <w:szCs w:val="32"/>
          <w:lang w:val="zh-CN"/>
        </w:rPr>
        <w:t>加快推行工学一体、企业新型学徒制、</w:t>
      </w:r>
      <w:r>
        <w:rPr>
          <w:rFonts w:hint="eastAsia" w:ascii="仿宋_GB2312"/>
          <w:kern w:val="0"/>
          <w:szCs w:val="32"/>
          <w:lang w:val="zh-CN"/>
        </w:rPr>
        <w:t>“互联网+”</w:t>
      </w:r>
      <w:r>
        <w:rPr>
          <w:rFonts w:hint="eastAsia" w:ascii="仿宋_GB2312" w:hAnsi="Calibri"/>
          <w:kern w:val="0"/>
          <w:szCs w:val="32"/>
          <w:lang w:val="zh-CN"/>
        </w:rPr>
        <w:t>等培训模式。</w:t>
      </w:r>
      <w:r>
        <w:rPr>
          <w:rFonts w:hint="eastAsia" w:ascii="仿宋_GB2312" w:hAnsi="Calibri"/>
          <w:szCs w:val="32"/>
        </w:rPr>
        <w:t>推进工匠培育工程和“金蓝领”职业技能提升行动，建设一批产业学院和实训基地。围绕高校毕业生、退役军人、农民工、失业人员和转岗职工等就业创业重点群体，</w:t>
      </w:r>
      <w:r>
        <w:rPr>
          <w:rFonts w:hint="eastAsia" w:ascii="仿宋_GB2312" w:hAnsi="Calibri"/>
          <w:kern w:val="0"/>
          <w:szCs w:val="32"/>
          <w:lang w:val="zh-CN"/>
        </w:rPr>
        <w:t>大力开展就业技能培训、岗位技能提升培训和创业培训，</w:t>
      </w:r>
      <w:r>
        <w:rPr>
          <w:rFonts w:hint="eastAsia" w:ascii="仿宋_GB2312" w:hAnsi="Calibri"/>
          <w:szCs w:val="32"/>
        </w:rPr>
        <w:t>完善贯穿职业生涯发展全过程的终身职业技能培训政策。</w:t>
      </w:r>
    </w:p>
    <w:p>
      <w:pPr>
        <w:spacing w:line="600" w:lineRule="exact"/>
        <w:ind w:firstLine="632" w:firstLineChars="200"/>
        <w:rPr>
          <w:rFonts w:ascii="仿宋_GB2312"/>
          <w:bCs/>
          <w:szCs w:val="32"/>
        </w:rPr>
      </w:pPr>
      <w:r>
        <w:rPr>
          <w:rFonts w:hint="eastAsia" w:ascii="仿宋_GB2312"/>
          <w:szCs w:val="32"/>
        </w:rPr>
        <w:t>完善工伤失业保险服务。</w:t>
      </w:r>
      <w:r>
        <w:rPr>
          <w:rFonts w:hint="eastAsia" w:ascii="仿宋_GB2312" w:hAnsi="宋体" w:cs="宋体"/>
          <w:kern w:val="0"/>
          <w:szCs w:val="32"/>
        </w:rPr>
        <w:t>健全工伤保险和失业保险制度，为符合条件人员提供失业和工伤保险待遇，构建</w:t>
      </w:r>
      <w:r>
        <w:rPr>
          <w:rFonts w:hint="eastAsia" w:ascii="仿宋_GB2312"/>
          <w:kern w:val="0"/>
          <w:szCs w:val="32"/>
        </w:rPr>
        <w:t>“</w:t>
      </w:r>
      <w:r>
        <w:rPr>
          <w:rFonts w:hint="eastAsia" w:ascii="仿宋_GB2312" w:hAnsi="宋体" w:cs="宋体"/>
          <w:kern w:val="0"/>
          <w:szCs w:val="32"/>
        </w:rPr>
        <w:t>补偿、预防、康复</w:t>
      </w:r>
      <w:r>
        <w:rPr>
          <w:rFonts w:hint="eastAsia" w:ascii="仿宋_GB2312"/>
          <w:kern w:val="0"/>
          <w:szCs w:val="32"/>
        </w:rPr>
        <w:t>”</w:t>
      </w:r>
      <w:r>
        <w:rPr>
          <w:rFonts w:hint="eastAsia" w:ascii="仿宋_GB2312" w:hAnsi="宋体" w:cs="宋体"/>
          <w:kern w:val="0"/>
          <w:szCs w:val="32"/>
        </w:rPr>
        <w:t>三位一体工伤保险预防常态化工作机制，开展</w:t>
      </w:r>
      <w:r>
        <w:rPr>
          <w:rFonts w:hint="eastAsia" w:ascii="仿宋_GB2312"/>
          <w:kern w:val="0"/>
          <w:szCs w:val="32"/>
        </w:rPr>
        <w:t>“</w:t>
      </w:r>
      <w:r>
        <w:rPr>
          <w:rFonts w:hint="eastAsia" w:ascii="仿宋_GB2312" w:hAnsi="宋体" w:cs="宋体"/>
          <w:kern w:val="0"/>
          <w:szCs w:val="32"/>
        </w:rPr>
        <w:t>工伤认定、医疗费用报销、劳动能力鉴定</w:t>
      </w:r>
      <w:r>
        <w:rPr>
          <w:rFonts w:hint="eastAsia" w:ascii="仿宋_GB2312"/>
          <w:kern w:val="0"/>
          <w:szCs w:val="32"/>
        </w:rPr>
        <w:t>”</w:t>
      </w:r>
      <w:r>
        <w:rPr>
          <w:rFonts w:hint="eastAsia" w:ascii="仿宋_GB2312" w:hAnsi="宋体" w:cs="宋体"/>
          <w:kern w:val="0"/>
          <w:szCs w:val="32"/>
        </w:rPr>
        <w:t>等服务；</w:t>
      </w:r>
      <w:r>
        <w:rPr>
          <w:rFonts w:hint="eastAsia" w:ascii="仿宋_GB2312"/>
          <w:bCs/>
          <w:szCs w:val="32"/>
        </w:rPr>
        <w:t>健全工伤预防常态机制，推进新业态从业人员职业伤害保险。强化失业保险稳岗支持，阶段性降低失业保险费率；</w:t>
      </w:r>
      <w:r>
        <w:rPr>
          <w:rFonts w:hint="eastAsia" w:ascii="仿宋_GB2312" w:hAnsi="Calibri"/>
          <w:szCs w:val="32"/>
        </w:rPr>
        <w:t>健全就业失业动态监测和预警机制，完善应急处置预案，有效防范规模性失业风险。</w:t>
      </w:r>
    </w:p>
    <w:p>
      <w:pPr>
        <w:spacing w:line="600" w:lineRule="exact"/>
        <w:ind w:firstLine="632" w:firstLineChars="200"/>
        <w:rPr>
          <w:rFonts w:ascii="仿宋_GB2312" w:hAnsi="Calibri"/>
          <w:szCs w:val="32"/>
        </w:rPr>
      </w:pPr>
      <w:r>
        <w:rPr>
          <w:rFonts w:hint="eastAsia" w:ascii="仿宋_GB2312"/>
          <w:szCs w:val="32"/>
        </w:rPr>
        <w:t>强化劳动权益保护。加强劳动者权益保障，健全最低工资标准增长机制和工资支付保障长效机制。深入推进“台州无欠薪”行动，实施制造业企业、工程建设项目等欠薪行为专项治理。提高劳动监察执法效能，健全劳动仲裁体制机制，加强农民工权益保障，完善劳动关系协调机制，协同推进劳动纠纷综合治理，构建和谐劳动关系。</w:t>
      </w:r>
    </w:p>
    <w:p>
      <w:pPr>
        <w:spacing w:line="600" w:lineRule="exact"/>
        <w:ind w:firstLine="632" w:firstLineChars="200"/>
        <w:outlineLvl w:val="1"/>
        <w:rPr>
          <w:rFonts w:ascii="楷体_GB2312" w:hAnsi="楷体_GB2312" w:eastAsia="楷体_GB2312" w:cs="楷体_GB2312"/>
          <w:szCs w:val="32"/>
        </w:rPr>
      </w:pPr>
      <w:r>
        <w:rPr>
          <w:rFonts w:ascii="楷体_GB2312" w:hAnsi="楷体_GB2312" w:eastAsia="楷体_GB2312" w:cs="楷体_GB2312"/>
          <w:szCs w:val="32"/>
        </w:rPr>
        <w:t>（四）聚焦病有所医，完善医疗卫生服务</w:t>
      </w:r>
      <w:r>
        <w:rPr>
          <w:rFonts w:hint="eastAsia" w:ascii="楷体_GB2312" w:hAnsi="楷体_GB2312" w:eastAsia="楷体_GB2312" w:cs="楷体_GB2312"/>
          <w:szCs w:val="32"/>
        </w:rPr>
        <w:t>。</w:t>
      </w:r>
    </w:p>
    <w:p>
      <w:pPr>
        <w:widowControl/>
        <w:spacing w:line="600" w:lineRule="exact"/>
        <w:ind w:firstLine="632" w:firstLineChars="200"/>
        <w:rPr>
          <w:rFonts w:ascii="仿宋_GB2312"/>
          <w:kern w:val="0"/>
          <w:sz w:val="24"/>
        </w:rPr>
      </w:pPr>
      <w:r>
        <w:rPr>
          <w:kern w:val="0"/>
          <w:szCs w:val="32"/>
        </w:rPr>
        <w:t>树立</w:t>
      </w:r>
      <w:r>
        <w:rPr>
          <w:rFonts w:hint="eastAsia" w:ascii="仿宋_GB2312"/>
          <w:kern w:val="0"/>
          <w:szCs w:val="32"/>
        </w:rPr>
        <w:t>大健康观念，全域优化医疗卫生资源布局，建设高效整合型医疗卫生服务体系，筑牢公共卫生安全防线，完善医疗保障制度，推动“以治病为中心”向“以健康为中心”转变，为群众提供更加公平可及的全人全程健康管理服务。</w:t>
      </w:r>
    </w:p>
    <w:p>
      <w:pPr>
        <w:spacing w:line="600" w:lineRule="exact"/>
        <w:ind w:firstLine="632" w:firstLineChars="200"/>
        <w:rPr>
          <w:szCs w:val="32"/>
        </w:rPr>
      </w:pPr>
      <w:r>
        <w:rPr>
          <w:rFonts w:hint="eastAsia" w:ascii="仿宋_GB2312"/>
          <w:szCs w:val="32"/>
        </w:rPr>
        <w:t>提升医疗服务水平。</w:t>
      </w:r>
      <w:r>
        <w:rPr>
          <w:rFonts w:hint="eastAsia" w:ascii="仿宋_GB2312"/>
          <w:bCs/>
          <w:szCs w:val="32"/>
        </w:rPr>
        <w:t>以创建健康城市示范市为目标，推进大健康体制机制</w:t>
      </w:r>
      <w:r>
        <w:rPr>
          <w:rFonts w:hint="eastAsia" w:ascii="仿宋_GB2312"/>
          <w:szCs w:val="32"/>
        </w:rPr>
        <w:t>改革，着力构建医防融合、优质高效、分级有序的整合型医疗卫生服务体系。扩大优质医疗资源供给，加强与复旦大学公共卫生学院等国内外</w:t>
      </w:r>
      <w:r>
        <w:rPr>
          <w:szCs w:val="32"/>
        </w:rPr>
        <w:t>知名医学院校、医疗机构合作，力争新建5个省级医学重点学科，打造市级区域医疗中心。加快台州医院新院区、台州市第一人民医院迁建、台州市立医院迁建、台州护士学校迁建等项目建成投用，提升市级医院等级，力争新增3家三甲医院。提升基层医疗</w:t>
      </w:r>
      <w:r>
        <w:rPr>
          <w:rFonts w:hint="eastAsia" w:ascii="仿宋_GB2312"/>
          <w:szCs w:val="32"/>
        </w:rPr>
        <w:t>服务能力，持续深化“双下沉、两提升”工作，完善由三级公立医院或县级医院牵头、其他若干家县级医院及乡镇卫生院、社区卫生服务中心为成员单位的紧密型医联体或医共体。进一步完善分级诊疗制度。新建（迁建）一批乡镇卫生院和社区卫生服务中心，持续推进乡镇卫生院和社区卫生服务中心标准化、规范化建设和村卫生室达标建设。实施基层中医药服务能力提升工程，推动基层医疗机构中医馆星级化建设。积极推进“互联网+”，加快区域医学共享中心建设。坚持中西医并重，大力发展中医药事业，强化中医药服务体系建设，推广中医药在全民医疗及健康管理中的应用。高质量做好卫生健康领域人才引进、培育工作，新</w:t>
      </w:r>
      <w:r>
        <w:rPr>
          <w:szCs w:val="32"/>
        </w:rPr>
        <w:t>增一批卫生人才列入省级人才培养工程。到2025年，全市居民健康发展指标力争达到全省中等水平。</w:t>
      </w:r>
    </w:p>
    <w:p>
      <w:pPr>
        <w:spacing w:line="600" w:lineRule="exact"/>
        <w:ind w:firstLine="632" w:firstLineChars="200"/>
        <w:rPr>
          <w:rFonts w:ascii="仿宋_GB2312"/>
          <w:szCs w:val="32"/>
        </w:rPr>
      </w:pPr>
      <w:r>
        <w:rPr>
          <w:szCs w:val="32"/>
        </w:rPr>
        <w:t>完善公共卫生服务体系。全面规范实施国家基本和重大公共卫生服务项目，合理扩大覆盖范围，建立人均基本公共卫生服务经费稳定增长机制。实施重点人群健康关爱工程，建立慢性病全周期健康管理和基层首诊服务模式，持续提升家庭医生签约覆盖面和服务质量，到2025年，老年人、慢性病患者</w:t>
      </w:r>
      <w:r>
        <w:rPr>
          <w:rFonts w:hint="eastAsia"/>
          <w:szCs w:val="32"/>
        </w:rPr>
        <w:t>、残疾人</w:t>
      </w:r>
      <w:r>
        <w:rPr>
          <w:szCs w:val="32"/>
        </w:rPr>
        <w:t>等重点人群签约率达</w:t>
      </w:r>
      <w:r>
        <w:rPr>
          <w:rFonts w:hint="eastAsia"/>
          <w:szCs w:val="32"/>
        </w:rPr>
        <w:t>80</w:t>
      </w:r>
      <w:r>
        <w:rPr>
          <w:szCs w:val="32"/>
        </w:rPr>
        <w:t>%以上。强化慢性病综合防控，开展慢性病人群精准健康教育和行为干预，加强高血压、糖尿病规范管理和有效控制，有效降低重大慢性病过早死亡率。</w:t>
      </w:r>
      <w:r>
        <w:rPr>
          <w:kern w:val="0"/>
          <w:szCs w:val="32"/>
        </w:rPr>
        <w:t>合理布局院前医疗急救网络，建设</w:t>
      </w:r>
      <w:r>
        <w:rPr>
          <w:rFonts w:hint="eastAsia"/>
          <w:kern w:val="0"/>
          <w:szCs w:val="32"/>
        </w:rPr>
        <w:t>全</w:t>
      </w:r>
      <w:r>
        <w:rPr>
          <w:kern w:val="0"/>
          <w:szCs w:val="32"/>
        </w:rPr>
        <w:t>市院前急救120</w:t>
      </w:r>
      <w:r>
        <w:rPr>
          <w:rFonts w:hint="eastAsia"/>
          <w:kern w:val="0"/>
          <w:szCs w:val="32"/>
        </w:rPr>
        <w:t>协同应用</w:t>
      </w:r>
      <w:r>
        <w:rPr>
          <w:rFonts w:hint="eastAsia" w:ascii="仿宋_GB2312"/>
          <w:kern w:val="0"/>
          <w:szCs w:val="32"/>
        </w:rPr>
        <w:t>，实现全市“一网管理、一键急救”。</w:t>
      </w:r>
      <w:r>
        <w:rPr>
          <w:rFonts w:hint="eastAsia" w:ascii="仿宋_GB2312"/>
          <w:szCs w:val="32"/>
        </w:rPr>
        <w:t>加强精神卫生体系建设，实现全市精神病专科医院全覆盖。</w:t>
      </w:r>
      <w:r>
        <w:rPr>
          <w:rFonts w:hint="eastAsia" w:ascii="仿宋_GB2312"/>
          <w:kern w:val="0"/>
          <w:szCs w:val="32"/>
        </w:rPr>
        <w:t>加强采供血服务体系建设，进一步提升全市的血液保障能力和血液安全。</w:t>
      </w:r>
      <w:r>
        <w:rPr>
          <w:rFonts w:hint="eastAsia" w:ascii="仿宋_GB2312"/>
          <w:szCs w:val="32"/>
        </w:rPr>
        <w:t>加强血液质量和安全管理，每千人口献血量达到全省中等水平。</w:t>
      </w:r>
    </w:p>
    <w:p>
      <w:pPr>
        <w:spacing w:line="600" w:lineRule="exact"/>
        <w:ind w:firstLine="632" w:firstLineChars="200"/>
        <w:rPr>
          <w:szCs w:val="32"/>
        </w:rPr>
      </w:pPr>
      <w:r>
        <w:rPr>
          <w:szCs w:val="32"/>
        </w:rPr>
        <w:t>建立应急防控管理体系。</w:t>
      </w:r>
      <w:r>
        <w:rPr>
          <w:kern w:val="0"/>
          <w:szCs w:val="32"/>
        </w:rPr>
        <w:t>完善重大疫情防控体制机制，特别是重大疫情应急响应机制和防治协同机制，</w:t>
      </w:r>
      <w:r>
        <w:rPr>
          <w:rFonts w:hint="eastAsia"/>
          <w:bCs/>
          <w:szCs w:val="32"/>
        </w:rPr>
        <w:t>建立全市公共卫生应急指挥协同应用</w:t>
      </w:r>
      <w:r>
        <w:rPr>
          <w:kern w:val="0"/>
          <w:szCs w:val="32"/>
        </w:rPr>
        <w:t>。改革完善疾病预防控制体系，完成全市疾病预防控制机构标准化建设，</w:t>
      </w:r>
      <w:r>
        <w:rPr>
          <w:bCs/>
          <w:szCs w:val="32"/>
        </w:rPr>
        <w:t>规范医疗机构发热门诊建设。加强市级定点医院基础设施建设和设备升级，</w:t>
      </w:r>
      <w:r>
        <w:rPr>
          <w:kern w:val="0"/>
          <w:szCs w:val="32"/>
        </w:rPr>
        <w:t>布局建设</w:t>
      </w:r>
      <w:r>
        <w:rPr>
          <w:rFonts w:eastAsia="宋体"/>
          <w:kern w:val="0"/>
          <w:szCs w:val="32"/>
        </w:rPr>
        <w:t>2</w:t>
      </w:r>
      <w:r>
        <w:rPr>
          <w:rFonts w:hint="eastAsia" w:ascii="仿宋_GB2312"/>
          <w:kern w:val="0"/>
          <w:szCs w:val="32"/>
        </w:rPr>
        <w:t>—</w:t>
      </w:r>
      <w:r>
        <w:rPr>
          <w:rFonts w:eastAsia="宋体"/>
          <w:kern w:val="0"/>
          <w:szCs w:val="32"/>
        </w:rPr>
        <w:t>3</w:t>
      </w:r>
      <w:r>
        <w:rPr>
          <w:kern w:val="0"/>
          <w:szCs w:val="32"/>
        </w:rPr>
        <w:t>家中医疫病防治基地，推进重症、呼吸、麻醉、感染等公共卫生相关学科建设，提升综合救治和多学科联合诊治</w:t>
      </w:r>
      <w:r>
        <w:rPr>
          <w:rFonts w:hint="eastAsia" w:ascii="仿宋_GB2312"/>
          <w:kern w:val="0"/>
          <w:szCs w:val="32"/>
        </w:rPr>
        <w:t>水平。</w:t>
      </w:r>
      <w:r>
        <w:rPr>
          <w:rFonts w:hint="eastAsia" w:ascii="仿宋_GB2312"/>
          <w:bCs/>
          <w:szCs w:val="32"/>
        </w:rPr>
        <w:t>市、县两级分别建成符合实际功能定位和发展规划的公共卫生检验检测与研究中心、公共卫生检测实验室。</w:t>
      </w:r>
      <w:r>
        <w:rPr>
          <w:rFonts w:hint="eastAsia" w:ascii="仿宋_GB2312"/>
          <w:kern w:val="0"/>
          <w:szCs w:val="32"/>
        </w:rPr>
        <w:t>推进基层医疗机构发热诊室建设，完善“哨点”体系。</w:t>
      </w:r>
      <w:r>
        <w:rPr>
          <w:rFonts w:hint="eastAsia" w:ascii="仿宋_GB2312"/>
          <w:bCs/>
          <w:szCs w:val="32"/>
        </w:rPr>
        <w:t>增强公共设施平战两用改造能力，健全统一的应急物资保障体系，着力加强防控救治支撑能力建</w:t>
      </w:r>
      <w:r>
        <w:rPr>
          <w:bCs/>
          <w:szCs w:val="32"/>
        </w:rPr>
        <w:t>设。</w:t>
      </w:r>
      <w:r>
        <w:rPr>
          <w:kern w:val="0"/>
          <w:szCs w:val="32"/>
        </w:rPr>
        <w:t>到</w:t>
      </w:r>
      <w:r>
        <w:rPr>
          <w:rFonts w:eastAsia="宋体"/>
          <w:kern w:val="0"/>
          <w:szCs w:val="32"/>
        </w:rPr>
        <w:t>2025</w:t>
      </w:r>
      <w:r>
        <w:rPr>
          <w:kern w:val="0"/>
          <w:szCs w:val="32"/>
        </w:rPr>
        <w:t>年，建成决策科学、指挥高效、运转有序、协同联动的现代化公共卫生应急管理体系，达到国内地市级领先水平。</w:t>
      </w:r>
    </w:p>
    <w:p>
      <w:pPr>
        <w:spacing w:line="600" w:lineRule="exact"/>
        <w:ind w:firstLine="632" w:firstLineChars="200"/>
        <w:jc w:val="left"/>
        <w:rPr>
          <w:bCs/>
          <w:szCs w:val="32"/>
        </w:rPr>
      </w:pPr>
      <w:r>
        <w:rPr>
          <w:bCs/>
          <w:szCs w:val="32"/>
        </w:rPr>
        <w:t>完善医疗保障制度。加快做实基本医疗保障市级统筹，健全重大疾病医疗保险和救助制度，大力发展商业补充医疗保险，探索建立长期护理保险制度，加快建立覆盖全民、城乡统筹、权责清晰、保障适度、可持续的多层次医疗保障制度体系。做实和强化总额预算管理制度，推进医保支付方式改革，深化住院医疗服务按DRGs点数法付费，普通门诊按人头包干付费等，</w:t>
      </w:r>
      <w:r>
        <w:rPr>
          <w:rFonts w:hint="eastAsia"/>
          <w:bCs/>
          <w:szCs w:val="32"/>
        </w:rPr>
        <w:t>建立健全符合中医药服务特点的支付方式。</w:t>
      </w:r>
      <w:r>
        <w:rPr>
          <w:bCs/>
          <w:szCs w:val="32"/>
        </w:rPr>
        <w:t>稳妥调整医疗服务价格，深化药品、医用耗材集中带量采购制度改革。加快医保信息化平台建设。实行医保基金预算管理和绩效评价。</w:t>
      </w:r>
    </w:p>
    <w:p>
      <w:pPr>
        <w:spacing w:line="600" w:lineRule="exact"/>
        <w:ind w:firstLine="632" w:firstLineChars="200"/>
        <w:jc w:val="left"/>
        <w:rPr>
          <w:bCs/>
          <w:szCs w:val="32"/>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712" w:type="dxa"/>
          </w:tcPr>
          <w:p>
            <w:pPr>
              <w:spacing w:line="500" w:lineRule="exact"/>
              <w:jc w:val="center"/>
              <w:rPr>
                <w:rFonts w:ascii="黑体" w:hAnsi="黑体" w:eastAsia="黑体"/>
                <w:bCs/>
                <w:sz w:val="28"/>
                <w:szCs w:val="28"/>
              </w:rPr>
            </w:pPr>
            <w:r>
              <w:rPr>
                <w:rFonts w:ascii="黑体" w:hAnsi="黑体" w:eastAsia="黑体"/>
                <w:sz w:val="28"/>
                <w:szCs w:val="28"/>
              </w:rPr>
              <w:t>专栏</w:t>
            </w:r>
            <w:r>
              <w:rPr>
                <w:rFonts w:hint="eastAsia" w:ascii="黑体" w:hAnsi="黑体" w:eastAsia="黑体"/>
                <w:sz w:val="28"/>
                <w:szCs w:val="28"/>
              </w:rPr>
              <w:t xml:space="preserve">2  </w:t>
            </w:r>
            <w:r>
              <w:rPr>
                <w:rFonts w:ascii="黑体" w:hAnsi="黑体" w:eastAsia="黑体"/>
                <w:sz w:val="28"/>
                <w:szCs w:val="28"/>
              </w:rPr>
              <w:t>医疗卫生服务提升重大工程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4" w:hRule="atLeast"/>
          <w:jc w:val="center"/>
        </w:trPr>
        <w:tc>
          <w:tcPr>
            <w:tcW w:w="8712" w:type="dxa"/>
          </w:tcPr>
          <w:p>
            <w:pPr>
              <w:spacing w:line="300" w:lineRule="exact"/>
              <w:ind w:firstLine="472" w:firstLineChars="200"/>
              <w:rPr>
                <w:kern w:val="0"/>
                <w:sz w:val="24"/>
              </w:rPr>
            </w:pPr>
            <w:r>
              <w:rPr>
                <w:bCs/>
                <w:sz w:val="24"/>
              </w:rPr>
              <w:t>中医服务提升工程</w:t>
            </w:r>
            <w:r>
              <w:rPr>
                <w:rFonts w:hint="eastAsia"/>
                <w:bCs/>
                <w:sz w:val="24"/>
              </w:rPr>
              <w:t>。</w:t>
            </w:r>
            <w:r>
              <w:rPr>
                <w:kern w:val="0"/>
                <w:sz w:val="24"/>
              </w:rPr>
              <w:t>加强对中医医院的医保政策倾斜与扶持，推动增加一批疗效确切的新中医诊疗服务项目设置并纳入医保支付，实行中医医保DRGs支付方式改革。健全中医医疗服务体系建设</w:t>
            </w:r>
            <w:r>
              <w:rPr>
                <w:rFonts w:ascii="仿宋_GB2312" w:hAnsi="仿宋_GB2312" w:cs="仿宋_GB2312"/>
                <w:kern w:val="0"/>
                <w:sz w:val="24"/>
              </w:rPr>
              <w:t>,</w:t>
            </w:r>
            <w:r>
              <w:rPr>
                <w:kern w:val="0"/>
                <w:sz w:val="24"/>
              </w:rPr>
              <w:t>以台州市区域中医医疗中心为龙头，各级各类中医医疗机构和其他医疗机构中医科为骨干，基层医疗机构为基础，融中医治未病、康复、护理、预防保健于一体，推进中医药综合服务。发挥中医药特点，增强疫病救治参与度，建设全市中医疫病</w:t>
            </w:r>
            <w:r>
              <w:rPr>
                <w:rFonts w:hint="eastAsia"/>
                <w:kern w:val="0"/>
                <w:sz w:val="24"/>
              </w:rPr>
              <w:t>防治</w:t>
            </w:r>
            <w:r>
              <w:rPr>
                <w:kern w:val="0"/>
                <w:sz w:val="24"/>
              </w:rPr>
              <w:t>基地。</w:t>
            </w:r>
          </w:p>
          <w:p>
            <w:pPr>
              <w:spacing w:line="300" w:lineRule="exact"/>
              <w:ind w:firstLine="472" w:firstLineChars="200"/>
              <w:jc w:val="left"/>
              <w:rPr>
                <w:bCs/>
                <w:sz w:val="24"/>
              </w:rPr>
            </w:pPr>
            <w:r>
              <w:rPr>
                <w:bCs/>
                <w:sz w:val="24"/>
              </w:rPr>
              <w:t>县域医疗卫生服务能力提升工程</w:t>
            </w:r>
            <w:r>
              <w:rPr>
                <w:rFonts w:hint="eastAsia"/>
                <w:bCs/>
                <w:sz w:val="24"/>
              </w:rPr>
              <w:t>。</w:t>
            </w:r>
            <w:r>
              <w:rPr>
                <w:rFonts w:hint="eastAsia"/>
                <w:sz w:val="24"/>
              </w:rPr>
              <w:t>医</w:t>
            </w:r>
            <w:r>
              <w:rPr>
                <w:bCs/>
                <w:sz w:val="24"/>
              </w:rPr>
              <w:t>共体牵头医院强院工程。推进</w:t>
            </w:r>
            <w:r>
              <w:rPr>
                <w:rFonts w:hint="eastAsia"/>
                <w:bCs/>
                <w:sz w:val="24"/>
              </w:rPr>
              <w:t>临海市公共卫生医学中心建设工程（临海市第一人民医院迁建工程），临海市第二人民医院扩建工程，</w:t>
            </w:r>
            <w:r>
              <w:rPr>
                <w:bCs/>
                <w:sz w:val="24"/>
              </w:rPr>
              <w:t>温岭</w:t>
            </w:r>
            <w:r>
              <w:rPr>
                <w:rFonts w:hint="eastAsia"/>
                <w:bCs/>
                <w:sz w:val="24"/>
              </w:rPr>
              <w:t>市</w:t>
            </w:r>
            <w:r>
              <w:rPr>
                <w:bCs/>
                <w:sz w:val="24"/>
              </w:rPr>
              <w:t>第五人民医院</w:t>
            </w:r>
            <w:r>
              <w:rPr>
                <w:rFonts w:hint="eastAsia"/>
                <w:bCs/>
                <w:sz w:val="24"/>
              </w:rPr>
              <w:t>（市精神康复医院）</w:t>
            </w:r>
            <w:r>
              <w:rPr>
                <w:bCs/>
                <w:sz w:val="24"/>
              </w:rPr>
              <w:t>迁建</w:t>
            </w:r>
            <w:r>
              <w:rPr>
                <w:rFonts w:hint="eastAsia"/>
                <w:bCs/>
                <w:sz w:val="24"/>
              </w:rPr>
              <w:t>，</w:t>
            </w:r>
            <w:r>
              <w:rPr>
                <w:bCs/>
                <w:sz w:val="24"/>
              </w:rPr>
              <w:t>玉环市人民医院改扩建</w:t>
            </w:r>
            <w:r>
              <w:rPr>
                <w:rFonts w:hint="eastAsia"/>
                <w:bCs/>
                <w:sz w:val="24"/>
              </w:rPr>
              <w:t>，</w:t>
            </w:r>
            <w:r>
              <w:rPr>
                <w:bCs/>
                <w:sz w:val="24"/>
              </w:rPr>
              <w:t>三门县人民医院</w:t>
            </w:r>
            <w:r>
              <w:rPr>
                <w:rFonts w:hint="eastAsia"/>
                <w:bCs/>
                <w:sz w:val="24"/>
              </w:rPr>
              <w:t>妇女儿童住院大楼、医技综合楼项目，</w:t>
            </w:r>
            <w:r>
              <w:rPr>
                <w:bCs/>
                <w:sz w:val="24"/>
              </w:rPr>
              <w:t>仙居县人民医院（</w:t>
            </w:r>
            <w:r>
              <w:rPr>
                <w:rFonts w:hint="eastAsia"/>
                <w:bCs/>
                <w:sz w:val="24"/>
              </w:rPr>
              <w:t>县妇幼保健</w:t>
            </w:r>
            <w:r>
              <w:rPr>
                <w:bCs/>
                <w:sz w:val="24"/>
              </w:rPr>
              <w:t>院）迁建</w:t>
            </w:r>
            <w:r>
              <w:rPr>
                <w:rFonts w:hint="eastAsia"/>
                <w:bCs/>
                <w:sz w:val="24"/>
              </w:rPr>
              <w:t>工程</w:t>
            </w:r>
            <w:r>
              <w:rPr>
                <w:bCs/>
                <w:sz w:val="24"/>
              </w:rPr>
              <w:t>等项目。基层医疗卫生服务能力提升工程。推进一批乡镇卫生院（社区卫生服务中心）新（改扩）建工程。到2025年，力争80%以上的乡镇卫生院能够提供住院服务</w:t>
            </w:r>
            <w:r>
              <w:rPr>
                <w:rFonts w:hint="eastAsia" w:ascii="仿宋_GB2312" w:hAnsi="仿宋_GB2312" w:cs="仿宋_GB2312"/>
                <w:bCs/>
                <w:sz w:val="24"/>
              </w:rPr>
              <w:t>，</w:t>
            </w:r>
            <w:r>
              <w:rPr>
                <w:bCs/>
                <w:sz w:val="24"/>
              </w:rPr>
              <w:t>提高中医药服务和医疗康复能力。推行县乡村</w:t>
            </w:r>
            <w:r>
              <w:rPr>
                <w:rFonts w:hint="eastAsia"/>
                <w:bCs/>
                <w:sz w:val="24"/>
              </w:rPr>
              <w:t>医疗</w:t>
            </w:r>
            <w:r>
              <w:rPr>
                <w:bCs/>
                <w:sz w:val="24"/>
              </w:rPr>
              <w:t>卫生</w:t>
            </w:r>
            <w:r>
              <w:rPr>
                <w:rFonts w:hint="eastAsia"/>
                <w:bCs/>
                <w:sz w:val="24"/>
              </w:rPr>
              <w:t>体系</w:t>
            </w:r>
            <w:r>
              <w:rPr>
                <w:bCs/>
                <w:sz w:val="24"/>
              </w:rPr>
              <w:t>一体化改革。</w:t>
            </w:r>
            <w:r>
              <w:rPr>
                <w:rFonts w:hint="eastAsia"/>
                <w:bCs/>
                <w:sz w:val="24"/>
              </w:rPr>
              <w:t>加强村级医疗卫生机构建设，</w:t>
            </w:r>
            <w:r>
              <w:rPr>
                <w:bCs/>
                <w:sz w:val="24"/>
              </w:rPr>
              <w:t>村卫生室</w:t>
            </w:r>
            <w:r>
              <w:rPr>
                <w:rFonts w:hint="eastAsia"/>
                <w:bCs/>
                <w:sz w:val="24"/>
              </w:rPr>
              <w:t>规范化率达到90%</w:t>
            </w:r>
            <w:r>
              <w:rPr>
                <w:bCs/>
                <w:sz w:val="24"/>
              </w:rPr>
              <w:t>，</w:t>
            </w:r>
            <w:r>
              <w:rPr>
                <w:rFonts w:hint="eastAsia"/>
                <w:bCs/>
                <w:sz w:val="24"/>
              </w:rPr>
              <w:t>在</w:t>
            </w:r>
            <w:r>
              <w:rPr>
                <w:bCs/>
                <w:sz w:val="24"/>
              </w:rPr>
              <w:t>医共体</w:t>
            </w:r>
            <w:r>
              <w:rPr>
                <w:rFonts w:hint="eastAsia"/>
                <w:bCs/>
                <w:sz w:val="24"/>
              </w:rPr>
              <w:t>框架下实现县乡村医疗卫生服务一体化</w:t>
            </w:r>
            <w:r>
              <w:rPr>
                <w:bCs/>
                <w:sz w:val="24"/>
              </w:rPr>
              <w:t>管理</w:t>
            </w:r>
            <w:r>
              <w:rPr>
                <w:rFonts w:hint="eastAsia"/>
                <w:bCs/>
                <w:sz w:val="24"/>
              </w:rPr>
              <w:t>和指导，强化人才柔性流动和统筹配置</w:t>
            </w:r>
            <w:r>
              <w:rPr>
                <w:bCs/>
                <w:sz w:val="24"/>
              </w:rPr>
              <w:t>。</w:t>
            </w:r>
          </w:p>
          <w:p>
            <w:pPr>
              <w:spacing w:line="300" w:lineRule="exact"/>
              <w:ind w:firstLine="472" w:firstLineChars="200"/>
              <w:rPr>
                <w:bCs/>
                <w:sz w:val="24"/>
              </w:rPr>
            </w:pPr>
            <w:r>
              <w:rPr>
                <w:rFonts w:hint="eastAsia"/>
                <w:bCs/>
                <w:sz w:val="24"/>
              </w:rPr>
              <w:t>市高层次人才特殊支持计划。培养第一层次人才5人、第二层次人才25人、第三层次人才70人。实施“导师结对培养优秀青年人才计划”，推出15名导师，导师结对培养青年人才50名。实施“青年骨干人才培训计划”，选送50名技术骨干进行培训。推进“全科医师轮训培养制度”，建设3家市级全科医生轮训基地，计划培训500人。推进“住院医师规范化培训制度”，引进国外先进一流住院医师培训团队，全面推升住院医师培训质量，培训住院医师1500人以上。</w:t>
            </w:r>
          </w:p>
          <w:p>
            <w:pPr>
              <w:spacing w:line="300" w:lineRule="exact"/>
              <w:ind w:firstLine="472" w:firstLineChars="200"/>
              <w:rPr>
                <w:kern w:val="0"/>
                <w:sz w:val="24"/>
              </w:rPr>
            </w:pPr>
            <w:r>
              <w:rPr>
                <w:kern w:val="0"/>
                <w:sz w:val="24"/>
              </w:rPr>
              <w:t>公共卫生服务能力提升工程。加强市县两级疾控中心基础设施、实验室检验检测、现场调查处置和公共卫生大数据应用等能力建设。谋划实施县（市、区）公共卫生中心项目建设，建成具有较强诊治水平、较大收治规模的传染病院区。推动建设台州市精神卫生中心（台州市心理医院）。到2025年，精神科医师数提升至4名</w:t>
            </w:r>
            <w:r>
              <w:rPr>
                <w:rFonts w:hint="eastAsia" w:ascii="仿宋_GB2312" w:hAnsi="仿宋_GB2312" w:eastAsia="仿宋_GB2312" w:cs="仿宋_GB2312"/>
                <w:kern w:val="0"/>
                <w:sz w:val="24"/>
              </w:rPr>
              <w:t>/</w:t>
            </w:r>
            <w:r>
              <w:rPr>
                <w:kern w:val="0"/>
                <w:sz w:val="24"/>
              </w:rPr>
              <w:t xml:space="preserve"> 10万人。</w:t>
            </w:r>
          </w:p>
        </w:tc>
      </w:tr>
    </w:tbl>
    <w:p>
      <w:pPr>
        <w:spacing w:line="600" w:lineRule="exact"/>
        <w:ind w:firstLine="632" w:firstLineChars="200"/>
        <w:outlineLvl w:val="1"/>
        <w:rPr>
          <w:rFonts w:ascii="楷体_GB2312" w:hAnsi="楷体_GB2312" w:eastAsia="楷体_GB2312" w:cs="楷体_GB2312"/>
          <w:szCs w:val="32"/>
        </w:rPr>
      </w:pPr>
      <w:r>
        <w:rPr>
          <w:rFonts w:ascii="楷体_GB2312" w:hAnsi="楷体_GB2312" w:eastAsia="楷体_GB2312" w:cs="楷体_GB2312"/>
          <w:szCs w:val="32"/>
        </w:rPr>
        <w:t>（五）聚焦娱有所乐，完善公共文体服务</w:t>
      </w:r>
      <w:r>
        <w:rPr>
          <w:rFonts w:hint="eastAsia" w:ascii="楷体_GB2312" w:hAnsi="楷体_GB2312" w:eastAsia="楷体_GB2312" w:cs="楷体_GB2312"/>
          <w:szCs w:val="32"/>
        </w:rPr>
        <w:t>。</w:t>
      </w:r>
    </w:p>
    <w:p>
      <w:pPr>
        <w:spacing w:line="600" w:lineRule="exact"/>
        <w:ind w:firstLine="632" w:firstLineChars="200"/>
        <w:rPr>
          <w:kern w:val="0"/>
          <w:szCs w:val="32"/>
        </w:rPr>
      </w:pPr>
      <w:r>
        <w:rPr>
          <w:kern w:val="0"/>
          <w:szCs w:val="32"/>
        </w:rPr>
        <w:t>以设施提升、服务提质为抓手，丰富多元文</w:t>
      </w:r>
      <w:r>
        <w:rPr>
          <w:rFonts w:hint="eastAsia"/>
          <w:kern w:val="0"/>
          <w:szCs w:val="32"/>
        </w:rPr>
        <w:t>体</w:t>
      </w:r>
      <w:r>
        <w:rPr>
          <w:kern w:val="0"/>
          <w:szCs w:val="32"/>
        </w:rPr>
        <w:t>产品和服务供给，构建更加便利普及的公共文体服务体系，促进公共文体服务从保障型向高品质转变。</w:t>
      </w:r>
    </w:p>
    <w:p>
      <w:pPr>
        <w:spacing w:line="600" w:lineRule="exact"/>
        <w:ind w:firstLine="632" w:firstLineChars="200"/>
        <w:rPr>
          <w:rFonts w:ascii="仿宋_GB2312"/>
          <w:bCs/>
          <w:szCs w:val="32"/>
        </w:rPr>
      </w:pPr>
      <w:r>
        <w:rPr>
          <w:szCs w:val="32"/>
        </w:rPr>
        <w:t>提升基本公共文化服务能力。</w:t>
      </w:r>
      <w:r>
        <w:rPr>
          <w:bCs/>
          <w:szCs w:val="32"/>
        </w:rPr>
        <w:t>全面巩固国家公共文化服务体系示范区创建成果。加快公共文化设施建设</w:t>
      </w:r>
      <w:r>
        <w:rPr>
          <w:rFonts w:hint="eastAsia"/>
          <w:bCs/>
          <w:szCs w:val="32"/>
        </w:rPr>
        <w:t>，</w:t>
      </w:r>
      <w:r>
        <w:rPr>
          <w:bCs/>
          <w:szCs w:val="32"/>
        </w:rPr>
        <w:t>规划建设台州大剧院、台州美术馆等文化地标；健全完善基层公共文化设施网络，</w:t>
      </w:r>
      <w:r>
        <w:rPr>
          <w:rFonts w:hint="eastAsia"/>
          <w:bCs/>
          <w:szCs w:val="32"/>
        </w:rPr>
        <w:t>推进新一批</w:t>
      </w:r>
      <w:r>
        <w:rPr>
          <w:bCs/>
          <w:szCs w:val="32"/>
        </w:rPr>
        <w:t>和合书吧</w:t>
      </w:r>
      <w:r>
        <w:rPr>
          <w:rFonts w:hint="eastAsia"/>
          <w:bCs/>
          <w:szCs w:val="32"/>
        </w:rPr>
        <w:t>建设</w:t>
      </w:r>
      <w:r>
        <w:rPr>
          <w:bCs/>
          <w:szCs w:val="32"/>
        </w:rPr>
        <w:t>，提高设施综合使用率和服务水平。加强新时代文明实践中心建设，完善实践所、站、点体系。按照居民住宅区公共文化设施配套建设标准，推进公共文化空间建设。加强县、乡、村广播电视公共服务基础设施布局，推进广电5G网络覆盖和应急广播体系</w:t>
      </w:r>
      <w:r>
        <w:rPr>
          <w:rFonts w:hint="eastAsia" w:ascii="仿宋_GB2312"/>
          <w:bCs/>
          <w:szCs w:val="32"/>
        </w:rPr>
        <w:t>建设。创新公共文化服务模式。加快推进公共文化数字化建设，完善“台州文化云”等数字平台，大力开展网上走亲等远程服务。推动公共文化设施免费开放和错时开放，完善“文化订制”精准服务机制。深化“台州文化年”品牌内涵，举办特色鲜明的“文化四季”活动，持续实施台州市文艺名家（名团）展演工程，在加大基层优质文化产品和服务供给的基础上，创新公共文化服务社会管理体系，推动基层“送文化”到“孕文化”转变。深入开展全民阅读节、“走读台州”等活动，打造书香台州文化品牌。</w:t>
      </w:r>
    </w:p>
    <w:p>
      <w:pPr>
        <w:spacing w:line="600" w:lineRule="exact"/>
        <w:ind w:firstLine="632" w:firstLineChars="200"/>
        <w:rPr>
          <w:rFonts w:ascii="仿宋_GB2312"/>
          <w:bCs/>
          <w:szCs w:val="32"/>
        </w:rPr>
      </w:pPr>
      <w:r>
        <w:rPr>
          <w:bCs/>
          <w:szCs w:val="32"/>
        </w:rPr>
        <w:t>丰富多元文化消费产品。加大优秀传统文化保护传承和转化利用，加大对天台山佛宗道源、唐诗之路和大陈岛等文化资源数字化转化和开发，打造一批原创IP，扶持</w:t>
      </w:r>
      <w:r>
        <w:rPr>
          <w:rFonts w:hint="eastAsia" w:ascii="仿宋_GB2312"/>
          <w:bCs/>
          <w:szCs w:val="32"/>
        </w:rPr>
        <w:t>一批主题文艺精品创作，开发一批传统文化消费产品。加快推进“文化融消费”，培育一批特色文化街区、夜间经济集聚区和文化消费平台，争创国家文化和旅游消费试点城市。完善常态化文化消费促进机制，打造一批标志性文艺大题材，培育音乐会、歌剧、舞剧等文化艺术产品，开发更多适合城乡居民需求的高品质文化产品和服务。全方位、多领域推进文化和旅游的深度融合，创新开发“红色文化+旅游”“非遗文化+旅游”“海洋文化+旅游”“文化演艺+旅游”等</w:t>
      </w:r>
      <w:r>
        <w:rPr>
          <w:bCs/>
          <w:szCs w:val="32"/>
        </w:rPr>
        <w:t>特色产品，打造全省</w:t>
      </w:r>
      <w:r>
        <w:rPr>
          <w:rFonts w:hint="eastAsia" w:ascii="仿宋_GB2312"/>
          <w:bCs/>
          <w:szCs w:val="32"/>
        </w:rPr>
        <w:t>文化和旅游融合发展高地。</w:t>
      </w:r>
    </w:p>
    <w:p>
      <w:pPr>
        <w:spacing w:line="600" w:lineRule="exact"/>
        <w:ind w:firstLine="632" w:firstLineChars="200"/>
        <w:rPr>
          <w:bCs/>
          <w:szCs w:val="32"/>
        </w:rPr>
      </w:pPr>
      <w:r>
        <w:rPr>
          <w:rFonts w:hint="eastAsia" w:ascii="仿宋_GB2312"/>
          <w:bCs/>
          <w:szCs w:val="32"/>
        </w:rPr>
        <w:t>积极完善公共体育服务。实施体育场馆和基层体育设施大提升行动。加强市本级体育馆及全民健身中心建设，结合城镇化发展统筹规划体育设施，推进行政村体育设施全覆盖。加强城市绿道、步道骑行道、全民健身中心、体育公园、社区多功能运动场等场地设施建设，落实城市基础设施、新建居住区按标准配套建设群众健身设施，积极构建“</w:t>
      </w:r>
      <w:r>
        <w:rPr>
          <w:bCs/>
          <w:szCs w:val="32"/>
        </w:rPr>
        <w:t>10分钟健身</w:t>
      </w:r>
      <w:r>
        <w:rPr>
          <w:rFonts w:hint="eastAsia" w:ascii="仿宋_GB2312"/>
          <w:bCs/>
          <w:szCs w:val="32"/>
        </w:rPr>
        <w:t>圈”，到</w:t>
      </w:r>
      <w:r>
        <w:rPr>
          <w:bCs/>
          <w:szCs w:val="32"/>
        </w:rPr>
        <w:t>2025年</w:t>
      </w:r>
      <w:r>
        <w:rPr>
          <w:rFonts w:hint="eastAsia"/>
          <w:bCs/>
          <w:szCs w:val="32"/>
        </w:rPr>
        <w:t>，</w:t>
      </w:r>
      <w:r>
        <w:rPr>
          <w:szCs w:val="32"/>
        </w:rPr>
        <w:t>县（市、区）</w:t>
      </w:r>
      <w:r>
        <w:rPr>
          <w:rFonts w:hint="eastAsia" w:ascii="仿宋_GB2312"/>
          <w:szCs w:val="32"/>
        </w:rPr>
        <w:t>体育“一场两馆”覆盖率</w:t>
      </w:r>
      <w:r>
        <w:rPr>
          <w:szCs w:val="32"/>
        </w:rPr>
        <w:t>达到80%以上</w:t>
      </w:r>
      <w:r>
        <w:rPr>
          <w:bCs/>
          <w:szCs w:val="32"/>
        </w:rPr>
        <w:t>；人均体育场地面积达到</w:t>
      </w:r>
      <w:r>
        <w:rPr>
          <w:rFonts w:hint="eastAsia"/>
          <w:bCs/>
          <w:szCs w:val="32"/>
        </w:rPr>
        <w:t>2.85</w:t>
      </w:r>
      <w:r>
        <w:rPr>
          <w:bCs/>
          <w:szCs w:val="32"/>
        </w:rPr>
        <w:t>平方米。开展全民健身促进行动，推进体育资源社会共享，并推动所有符合开放条件的公共体育设施和学校体育场地设施100%向社会开放。创新全民健身公共服务模式，全面推进国民体质监测，鼓励居家健身项目常态化开展。倡导全民健康生活，鼓励积极开展群众性体育活动</w:t>
      </w:r>
      <w:r>
        <w:rPr>
          <w:rFonts w:hint="eastAsia"/>
          <w:bCs/>
          <w:szCs w:val="32"/>
        </w:rPr>
        <w:t>。</w:t>
      </w:r>
    </w:p>
    <w:p>
      <w:pPr>
        <w:spacing w:line="600" w:lineRule="exact"/>
        <w:ind w:firstLine="632" w:firstLineChars="200"/>
        <w:rPr>
          <w:rFonts w:ascii="仿宋_GB2312"/>
          <w:kern w:val="0"/>
          <w:szCs w:val="32"/>
        </w:rPr>
      </w:pPr>
      <w:r>
        <w:rPr>
          <w:szCs w:val="32"/>
        </w:rPr>
        <w:t>推进体育服务提升</w:t>
      </w:r>
      <w:r>
        <w:rPr>
          <w:rFonts w:hint="eastAsia" w:ascii="仿宋_GB2312"/>
          <w:szCs w:val="32"/>
        </w:rPr>
        <w:t>发展。</w:t>
      </w:r>
      <w:r>
        <w:rPr>
          <w:rFonts w:hint="eastAsia" w:ascii="仿宋_GB2312"/>
          <w:bCs/>
          <w:szCs w:val="32"/>
        </w:rPr>
        <w:t>积极引进和承办国内、国际重大体育赛事，培育特色品牌赛事，支持“柴古唐斯·括苍越野赛”等发展成国际性知名体育赛事。积极拓展体育健身、体育</w:t>
      </w:r>
      <w:r>
        <w:rPr>
          <w:rFonts w:hint="eastAsia" w:ascii="仿宋_GB2312" w:hAnsi="仿宋_GB2312" w:cs="仿宋_GB2312"/>
          <w:szCs w:val="32"/>
        </w:rPr>
        <w:t>竞赛表演业</w:t>
      </w:r>
      <w:r>
        <w:rPr>
          <w:rFonts w:hint="eastAsia" w:ascii="仿宋_GB2312"/>
          <w:bCs/>
          <w:szCs w:val="32"/>
        </w:rPr>
        <w:t>、体育旅游等新业态，打造体育公园、体育服务综合体等，丰富节假日体育供给。鼓励社会力量积极发展群体性、社会性体育组织，</w:t>
      </w:r>
      <w:r>
        <w:rPr>
          <w:rFonts w:hint="eastAsia" w:ascii="仿宋_GB2312" w:hAnsi="仿宋_GB2312" w:cs="仿宋_GB2312"/>
          <w:szCs w:val="32"/>
        </w:rPr>
        <w:t>全面推进基层体育委员工作机制，打通体育组织</w:t>
      </w:r>
      <w:r>
        <w:rPr>
          <w:rFonts w:hint="eastAsia" w:ascii="仿宋_GB2312"/>
          <w:kern w:val="0"/>
          <w:szCs w:val="32"/>
        </w:rPr>
        <w:t>“最后一公里”</w:t>
      </w:r>
      <w:r>
        <w:rPr>
          <w:rFonts w:hint="eastAsia" w:ascii="仿宋_GB2312"/>
          <w:bCs/>
          <w:szCs w:val="32"/>
        </w:rPr>
        <w:t>，实现乡镇（街道）体育社会组织全覆盖。推进公共</w:t>
      </w:r>
      <w:r>
        <w:rPr>
          <w:rFonts w:hint="eastAsia" w:ascii="仿宋_GB2312"/>
          <w:kern w:val="0"/>
          <w:szCs w:val="32"/>
        </w:rPr>
        <w:t>体育场馆数字化建设，实现“菜单式”体育公共服务供给。</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8747" w:type="dxa"/>
          </w:tcPr>
          <w:p>
            <w:pPr>
              <w:spacing w:line="500" w:lineRule="exact"/>
              <w:jc w:val="center"/>
              <w:rPr>
                <w:rFonts w:ascii="黑体" w:hAnsi="黑体" w:eastAsia="黑体"/>
                <w:bCs/>
                <w:sz w:val="28"/>
                <w:szCs w:val="28"/>
              </w:rPr>
            </w:pPr>
            <w:r>
              <w:rPr>
                <w:rFonts w:ascii="黑体" w:hAnsi="黑体" w:eastAsia="黑体"/>
                <w:sz w:val="28"/>
                <w:szCs w:val="28"/>
              </w:rPr>
              <w:t>专栏</w:t>
            </w:r>
            <w:r>
              <w:rPr>
                <w:rFonts w:eastAsia="黑体"/>
                <w:sz w:val="28"/>
                <w:szCs w:val="28"/>
              </w:rPr>
              <w:t xml:space="preserve">3  </w:t>
            </w:r>
            <w:r>
              <w:rPr>
                <w:rFonts w:ascii="黑体" w:hAnsi="黑体" w:eastAsia="黑体"/>
                <w:sz w:val="28"/>
                <w:szCs w:val="28"/>
              </w:rPr>
              <w:t>文体服务提升重大工程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8" w:hRule="atLeast"/>
          <w:jc w:val="center"/>
        </w:trPr>
        <w:tc>
          <w:tcPr>
            <w:tcW w:w="8747" w:type="dxa"/>
            <w:vAlign w:val="center"/>
          </w:tcPr>
          <w:p>
            <w:pPr>
              <w:spacing w:line="300" w:lineRule="exact"/>
              <w:ind w:firstLine="472" w:firstLineChars="200"/>
              <w:rPr>
                <w:rFonts w:ascii="仿宋_GB2312"/>
                <w:bCs/>
                <w:sz w:val="24"/>
              </w:rPr>
            </w:pPr>
            <w:r>
              <w:rPr>
                <w:rFonts w:hint="eastAsia" w:ascii="仿宋_GB2312"/>
                <w:bCs/>
                <w:sz w:val="24"/>
              </w:rPr>
              <w:t>公共文化设施建设工程。对标市级“五馆一院一厅”、县级“四馆一院”、区级“三馆”的配套要求，统筹推进城乡公共文化服务体系一体建设。推进台州大剧院、台州美术馆、新时代文明实践中心和农村文化礼堂等建设。</w:t>
            </w:r>
          </w:p>
          <w:p>
            <w:pPr>
              <w:snapToGrid w:val="0"/>
              <w:spacing w:line="300" w:lineRule="exact"/>
              <w:ind w:firstLine="472" w:firstLineChars="200"/>
              <w:rPr>
                <w:rFonts w:ascii="仿宋_GB2312"/>
                <w:bCs/>
                <w:sz w:val="24"/>
              </w:rPr>
            </w:pPr>
            <w:r>
              <w:rPr>
                <w:rFonts w:hint="eastAsia" w:ascii="仿宋_GB2312"/>
                <w:bCs/>
                <w:sz w:val="24"/>
              </w:rPr>
              <w:t>优秀文化保护传承工程。深入推进“垦荒精神立心”工程，推出一批影视作品、系列丛书等，加快大陈岛红色旅游项目开发建设。持续擦亮“和合圣地”等金名片，推进和合小镇建设，布局和合乐园等文旅产业项目。推进非遗文创街等项目建设。</w:t>
            </w:r>
          </w:p>
          <w:p>
            <w:pPr>
              <w:snapToGrid w:val="0"/>
              <w:spacing w:line="300" w:lineRule="exact"/>
              <w:ind w:firstLine="472" w:firstLineChars="200"/>
              <w:rPr>
                <w:kern w:val="0"/>
                <w:sz w:val="24"/>
              </w:rPr>
            </w:pPr>
            <w:r>
              <w:rPr>
                <w:rFonts w:hint="eastAsia" w:ascii="仿宋_GB2312"/>
                <w:kern w:val="0"/>
                <w:sz w:val="24"/>
              </w:rPr>
              <w:t>文旅融合平台建设工程。</w:t>
            </w:r>
            <w:r>
              <w:rPr>
                <w:rFonts w:hint="eastAsia" w:ascii="仿宋_GB2312"/>
                <w:bCs/>
                <w:sz w:val="24"/>
              </w:rPr>
              <w:t>推进大陈岛“全国红色旅游第一岛”建设，创建国家级党性教育和爱国主义教育基地、海峡两岸交流基地、企业员工和工会会员疗养培训基地。推进浙东唐诗之路目的地建设，重点培育天台山、神仙居、台州府城等诗路“珍珠”，打造一批国内外兼具美誉度和影响力的耀眼明珠，并串“珠”成链。推进椒（灵）江生态旅游区建设，支持台州府城文化旅游区创成</w:t>
            </w:r>
            <w:r>
              <w:rPr>
                <w:rFonts w:hint="eastAsia"/>
                <w:bCs/>
                <w:sz w:val="24"/>
              </w:rPr>
              <w:t>国家</w:t>
            </w:r>
            <w:r>
              <w:rPr>
                <w:bCs/>
                <w:sz w:val="24"/>
              </w:rPr>
              <w:t>5A</w:t>
            </w:r>
            <w:r>
              <w:rPr>
                <w:rFonts w:hint="eastAsia"/>
                <w:bCs/>
                <w:sz w:val="24"/>
              </w:rPr>
              <w:t>级景区。扎实推进滨海旅游功能区和</w:t>
            </w:r>
            <w:r>
              <w:rPr>
                <w:bCs/>
                <w:sz w:val="24"/>
              </w:rPr>
              <w:t>大陈、东矶、大鹿、蛇蟠4个海岛公园</w:t>
            </w:r>
            <w:r>
              <w:rPr>
                <w:rFonts w:hint="eastAsia"/>
                <w:bCs/>
                <w:sz w:val="24"/>
              </w:rPr>
              <w:t>建设。</w:t>
            </w:r>
          </w:p>
          <w:p>
            <w:pPr>
              <w:snapToGrid w:val="0"/>
              <w:spacing w:line="300" w:lineRule="exact"/>
              <w:ind w:firstLine="472" w:firstLineChars="200"/>
              <w:rPr>
                <w:bCs/>
                <w:sz w:val="24"/>
              </w:rPr>
            </w:pPr>
            <w:r>
              <w:rPr>
                <w:rFonts w:hint="eastAsia"/>
                <w:bCs/>
                <w:sz w:val="24"/>
              </w:rPr>
              <w:t>公共</w:t>
            </w:r>
            <w:r>
              <w:rPr>
                <w:rFonts w:hint="eastAsia" w:ascii="仿宋_GB2312"/>
                <w:bCs/>
                <w:sz w:val="24"/>
              </w:rPr>
              <w:t>体育服务“百千万”工程。打造百个社区（街道）公共体育服务现代化示范点，推进全民健身服务的“触手可及”。认定一千名星级体育委员，常态化为社区（街道）居民提供线上、线下健身指导、咨询服务。打造万场次赛事网络体系，建设高质量赛事目的地。</w:t>
            </w:r>
          </w:p>
        </w:tc>
      </w:tr>
    </w:tbl>
    <w:p>
      <w:pPr>
        <w:spacing w:line="600" w:lineRule="exact"/>
        <w:ind w:firstLine="632" w:firstLineChars="200"/>
        <w:outlineLvl w:val="1"/>
        <w:rPr>
          <w:rFonts w:ascii="楷体_GB2312" w:hAnsi="楷体_GB2312" w:eastAsia="楷体_GB2312" w:cs="楷体_GB2312"/>
          <w:szCs w:val="32"/>
        </w:rPr>
      </w:pPr>
      <w:r>
        <w:rPr>
          <w:rFonts w:ascii="楷体_GB2312" w:hAnsi="楷体_GB2312" w:eastAsia="楷体_GB2312" w:cs="楷体_GB2312"/>
          <w:szCs w:val="32"/>
        </w:rPr>
        <w:t>（六）聚焦住有所居，完善宜居生活服务</w:t>
      </w:r>
      <w:r>
        <w:rPr>
          <w:rFonts w:hint="eastAsia" w:ascii="楷体_GB2312" w:hAnsi="楷体_GB2312" w:eastAsia="楷体_GB2312" w:cs="楷体_GB2312"/>
          <w:szCs w:val="32"/>
        </w:rPr>
        <w:t>。</w:t>
      </w:r>
    </w:p>
    <w:p>
      <w:pPr>
        <w:spacing w:line="600" w:lineRule="exact"/>
        <w:ind w:firstLine="632" w:firstLineChars="200"/>
        <w:rPr>
          <w:szCs w:val="32"/>
        </w:rPr>
      </w:pPr>
      <w:r>
        <w:rPr>
          <w:szCs w:val="32"/>
        </w:rPr>
        <w:t>坚持</w:t>
      </w:r>
      <w:r>
        <w:rPr>
          <w:rFonts w:hint="eastAsia"/>
          <w:szCs w:val="32"/>
        </w:rPr>
        <w:t>“</w:t>
      </w:r>
      <w:r>
        <w:rPr>
          <w:szCs w:val="32"/>
        </w:rPr>
        <w:t>房住不炒</w:t>
      </w:r>
      <w:r>
        <w:rPr>
          <w:rFonts w:hint="eastAsia"/>
          <w:szCs w:val="32"/>
        </w:rPr>
        <w:t>”定位</w:t>
      </w:r>
      <w:r>
        <w:rPr>
          <w:szCs w:val="32"/>
        </w:rPr>
        <w:t>，健全城镇住房保障制度，加大保障性安居工程建设，更好保障住有所居，改善人居环境质量，着力构建舒适便捷的生活服务圈，营造良好的宜居环境。</w:t>
      </w:r>
    </w:p>
    <w:p>
      <w:pPr>
        <w:spacing w:line="600" w:lineRule="exact"/>
        <w:ind w:firstLine="632" w:firstLineChars="200"/>
        <w:rPr>
          <w:rFonts w:ascii="仿宋_GB2312"/>
          <w:szCs w:val="32"/>
        </w:rPr>
      </w:pPr>
      <w:r>
        <w:rPr>
          <w:rFonts w:hint="eastAsia"/>
          <w:bCs/>
          <w:szCs w:val="32"/>
        </w:rPr>
        <w:t>加强基本住房保障。</w:t>
      </w:r>
      <w:r>
        <w:rPr>
          <w:szCs w:val="32"/>
        </w:rPr>
        <w:t>建立健全城镇住房保障体系，完善实物配租与租赁补贴并举的公共租赁住房保障形式，分层次解决各类保障对象的住房困难问题。有序推进城镇保障性安居工程建设和房源筹集，继续稳妥实施城镇棚户区改造。加快推进城镇老旧小区改造，重点推进改造2000年底前建成</w:t>
      </w:r>
      <w:r>
        <w:rPr>
          <w:rFonts w:hint="eastAsia" w:ascii="仿宋_GB2312"/>
          <w:szCs w:val="32"/>
        </w:rPr>
        <w:t>的、群众改造意向强烈的老旧小区。积极拓展融资渠道，多元争取资金支持，有效解决资金缺口。稳步推进农村危旧房改造，加大补助力度。</w:t>
      </w:r>
    </w:p>
    <w:p>
      <w:pPr>
        <w:spacing w:line="600" w:lineRule="exact"/>
        <w:ind w:firstLine="632" w:firstLineChars="200"/>
        <w:rPr>
          <w:rFonts w:ascii="仿宋_GB2312"/>
          <w:szCs w:val="32"/>
        </w:rPr>
      </w:pPr>
      <w:r>
        <w:rPr>
          <w:rFonts w:hint="eastAsia" w:ascii="仿宋_GB2312"/>
          <w:szCs w:val="32"/>
        </w:rPr>
        <w:t>持续提升住房条件。加强住房及用地供应管理，保障住宅用地需要，促进市场供需基本平衡，优化住房供应结构，满足合理自住需求，支持改善型住房需求，培育和发展住房租赁市场。推进社区化改造，建设幸福邻里中心，加强托幼、教育、医疗、养老等设施布局建设，打造“三生相宜”的高品质现代社区。全面推广实施未来社区（美好家园）计划，加快建设应用社区智慧服务平台，全方位支撑未来社区九大场景落地，培育建设一批未来社区省级试点。推进老旧社区数字化改造，引导利用现代化识别系统和视频监控、互联网、大数据等信息化手段，提高智能化管理水平，打造一批“智慧住区”。</w:t>
      </w:r>
    </w:p>
    <w:p>
      <w:pPr>
        <w:spacing w:line="600" w:lineRule="exact"/>
        <w:ind w:firstLine="632" w:firstLineChars="200"/>
        <w:rPr>
          <w:rFonts w:ascii="仿宋_GB2312"/>
          <w:szCs w:val="32"/>
        </w:rPr>
      </w:pPr>
      <w:r>
        <w:rPr>
          <w:szCs w:val="32"/>
        </w:rPr>
        <w:t>营造良好宜</w:t>
      </w:r>
      <w:r>
        <w:rPr>
          <w:rFonts w:hint="eastAsia" w:ascii="仿宋_GB2312"/>
          <w:szCs w:val="32"/>
        </w:rPr>
        <w:t>居环境。打好碧水保卫战，实施流域生态修复，加快推进污水处理设施建设和提升改造，全面完成全市“污水零直排区”建设。建立空气质量预警预报平台，深化区域大气污染联防联控联治，确保全市环境空气质量持续稳步改善。深化国家土壤污染综合防治先行区建设，开展土壤污染大排查大起底行动。改善海洋生态环境，完善近岸海域水质监测制度，实施美丽海湾建设项目。构建分级分类生活垃圾循环利用体系，全域推进“无废城市”建设。推进社区基础设施绿色化、智能化建设，建立健全社区人居环境建设和整治机制，推进绿道和公园建设，打造全域美丽大花园。</w:t>
      </w:r>
    </w:p>
    <w:p>
      <w:pPr>
        <w:tabs>
          <w:tab w:val="left" w:pos="2385"/>
        </w:tabs>
        <w:spacing w:line="600" w:lineRule="exact"/>
        <w:ind w:firstLine="632" w:firstLineChars="200"/>
        <w:rPr>
          <w:rFonts w:ascii="仿宋_GB2312" w:hAnsi="Calibri"/>
          <w:szCs w:val="32"/>
        </w:rPr>
      </w:pPr>
      <w:r>
        <w:rPr>
          <w:rFonts w:hint="eastAsia" w:ascii="仿宋_GB2312"/>
          <w:szCs w:val="32"/>
        </w:rPr>
        <w:t>健全公共基础设施网络。优先发展公共交通，进一步推进公交专用道建设，构建公交车辆优先通行网络，促进城乡客运基本公共服务均等化，创建国家“公交都市”。实施长潭水库生态缓冲带建设试点，深入开展超标饮用水水源治理，完善多水源联合供水体系，加快实施农村饮水安全提升工程和城乡供水一体化进程。推进“十廊十湖十区”建设，构建美丽共享的河湖水域生态网，建成幸福水岸</w:t>
      </w:r>
      <w:r>
        <w:rPr>
          <w:rFonts w:hint="eastAsia"/>
          <w:szCs w:val="32"/>
        </w:rPr>
        <w:t>500公里。</w:t>
      </w:r>
      <w:r>
        <w:rPr>
          <w:szCs w:val="32"/>
        </w:rPr>
        <w:t>推进多元融合高弹性电网建设，打造智能电网和泛在电力物联网，促进源网荷储协调融合，实现全能源互联互通。全面加快推进5G网络建设，优先开展中心城区、交通枢纽、生产基地等重点区域的优质网络建设，推动5G网络向农村延伸，实现5G信号</w:t>
      </w:r>
      <w:r>
        <w:rPr>
          <w:rFonts w:hint="eastAsia"/>
          <w:szCs w:val="32"/>
        </w:rPr>
        <w:t>高标准</w:t>
      </w:r>
      <w:r>
        <w:rPr>
          <w:szCs w:val="32"/>
        </w:rPr>
        <w:t>覆盖。推动乡镇邮政服务全覆盖。</w:t>
      </w:r>
    </w:p>
    <w:p>
      <w:pPr>
        <w:spacing w:line="600" w:lineRule="exact"/>
        <w:ind w:firstLine="632" w:firstLineChars="200"/>
        <w:rPr>
          <w:szCs w:val="32"/>
        </w:rPr>
      </w:pPr>
      <w:r>
        <w:rPr>
          <w:szCs w:val="32"/>
        </w:rPr>
        <w:t>打造便民生活</w:t>
      </w:r>
      <w:r>
        <w:rPr>
          <w:rFonts w:hint="eastAsia" w:ascii="仿宋_GB2312"/>
          <w:szCs w:val="32"/>
        </w:rPr>
        <w:t>服务圈。优化社区商业网点、公共服务设施的规划布局和业态配置，鼓励企业以连锁经营方式设立餐饮、超市、养老等社区服务网点。积极推进家政服务网络建设，鼓励依托大中型服务企业建设家政服务网络中心，提供清洁卫生服务、婴幼儿看护、养老服务、病人看护、护理孕妇和产妇、家务管理、保姆等安全便利的家政服务。继续实施农贸市场提升改造工程，持续推进省级放心农贸市场建设，优化农贸市场网点布局。紧盯“宅经济”，大力发展“网上菜场”“网上超市”“网订店送”等数字生活新服务，推进“智慧商圈”“智慧商街”建设，着力打造“</w:t>
      </w:r>
      <w:r>
        <w:rPr>
          <w:szCs w:val="32"/>
        </w:rPr>
        <w:t>5分钟便利店+10分钟农贸市场+15分钟</w:t>
      </w:r>
      <w:r>
        <w:rPr>
          <w:rFonts w:hint="eastAsia" w:ascii="仿宋_GB2312"/>
          <w:szCs w:val="32"/>
        </w:rPr>
        <w:t>超市”便民</w:t>
      </w:r>
      <w:r>
        <w:rPr>
          <w:szCs w:val="32"/>
        </w:rPr>
        <w:t>生活服务圈。</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884" w:type="dxa"/>
          </w:tcPr>
          <w:p>
            <w:pPr>
              <w:spacing w:line="500" w:lineRule="exact"/>
              <w:jc w:val="center"/>
              <w:rPr>
                <w:rFonts w:ascii="黑体" w:hAnsi="黑体" w:eastAsia="黑体"/>
                <w:bCs/>
                <w:szCs w:val="32"/>
              </w:rPr>
            </w:pPr>
            <w:r>
              <w:rPr>
                <w:rFonts w:ascii="黑体" w:hAnsi="黑体" w:eastAsia="黑体"/>
                <w:sz w:val="28"/>
                <w:szCs w:val="28"/>
              </w:rPr>
              <w:t>专</w:t>
            </w:r>
            <w:r>
              <w:rPr>
                <w:rFonts w:hAnsi="黑体" w:eastAsia="黑体"/>
                <w:sz w:val="28"/>
                <w:szCs w:val="28"/>
              </w:rPr>
              <w:t>栏</w:t>
            </w:r>
            <w:r>
              <w:rPr>
                <w:rFonts w:eastAsia="黑体"/>
                <w:sz w:val="28"/>
                <w:szCs w:val="28"/>
              </w:rPr>
              <w:t xml:space="preserve">4 </w:t>
            </w:r>
            <w:r>
              <w:rPr>
                <w:rFonts w:ascii="黑体" w:hAnsi="黑体" w:eastAsia="黑体"/>
                <w:sz w:val="28"/>
                <w:szCs w:val="28"/>
              </w:rPr>
              <w:t>宜居生活服务提升重大工程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84" w:type="dxa"/>
          </w:tcPr>
          <w:p>
            <w:pPr>
              <w:spacing w:line="300" w:lineRule="exact"/>
              <w:ind w:firstLine="472" w:firstLineChars="200"/>
              <w:rPr>
                <w:rFonts w:eastAsia="宋体"/>
                <w:sz w:val="28"/>
                <w:szCs w:val="28"/>
              </w:rPr>
            </w:pPr>
            <w:r>
              <w:rPr>
                <w:sz w:val="24"/>
              </w:rPr>
              <w:t>公共住房保障工程。深入推进保障性安居工程建设，完善城镇住房保障体系，稳步扩大受益覆盖面。“十四五”期间，</w:t>
            </w:r>
            <w:r>
              <w:rPr>
                <w:rFonts w:hint="eastAsia"/>
                <w:sz w:val="24"/>
              </w:rPr>
              <w:t>筹集保障性租赁住房（含新增租赁补贴保障）</w:t>
            </w:r>
            <w:r>
              <w:rPr>
                <w:sz w:val="24"/>
              </w:rPr>
              <w:t>0.8</w:t>
            </w:r>
            <w:r>
              <w:rPr>
                <w:rFonts w:hint="eastAsia"/>
                <w:sz w:val="24"/>
              </w:rPr>
              <w:t>万套（户），城镇住房保障受益覆盖率达到</w:t>
            </w:r>
            <w:r>
              <w:rPr>
                <w:sz w:val="24"/>
              </w:rPr>
              <w:t>23%</w:t>
            </w:r>
            <w:r>
              <w:rPr>
                <w:rFonts w:hint="eastAsia"/>
                <w:sz w:val="24"/>
              </w:rPr>
              <w:t>左右。</w:t>
            </w:r>
          </w:p>
          <w:p>
            <w:pPr>
              <w:spacing w:line="300" w:lineRule="exact"/>
              <w:ind w:firstLine="472" w:firstLineChars="200"/>
              <w:rPr>
                <w:sz w:val="24"/>
              </w:rPr>
            </w:pPr>
            <w:r>
              <w:rPr>
                <w:sz w:val="24"/>
              </w:rPr>
              <w:t>住房租赁服务与监管信息平台建设工程。搭建住房租赁信息政府服务平台，建立政府服务平台</w:t>
            </w:r>
            <w:r>
              <w:rPr>
                <w:rFonts w:hint="eastAsia"/>
                <w:sz w:val="24"/>
              </w:rPr>
              <w:t>，</w:t>
            </w:r>
            <w:r>
              <w:rPr>
                <w:sz w:val="24"/>
              </w:rPr>
              <w:t xml:space="preserve">提升住房租赁市场监管服务水平，实现房源发布、房源核验、合同网签、信用管理、居住证明、补贴发放的一站式服务。 </w:t>
            </w:r>
          </w:p>
          <w:p>
            <w:pPr>
              <w:spacing w:line="300" w:lineRule="exact"/>
              <w:ind w:firstLine="472" w:firstLineChars="200"/>
              <w:rPr>
                <w:rFonts w:ascii="仿宋_GB2312"/>
                <w:sz w:val="24"/>
              </w:rPr>
            </w:pPr>
            <w:r>
              <w:rPr>
                <w:rFonts w:hint="eastAsia" w:ascii="仿宋_GB2312"/>
                <w:sz w:val="24"/>
              </w:rPr>
              <w:t>“未来社区+未来乡村（村庄）”联动发展示范区。高标准建设椒江心海社区、台州湾新区沙北社区，加快启动黄岩东浦社区、路桥凤栖社区、临海六角井社区、玉环东风社区、仙居黄坦树社区等未来社区试点规划建设工作；以新时代美丽乡村建设为依托，推进未来乡村建设，每年创建市级</w:t>
            </w:r>
            <w:r>
              <w:rPr>
                <w:sz w:val="24"/>
              </w:rPr>
              <w:t>美丽乡村精品村20个。以未来社区和美丽</w:t>
            </w:r>
            <w:r>
              <w:rPr>
                <w:rFonts w:hint="eastAsia" w:ascii="仿宋_GB2312"/>
                <w:sz w:val="24"/>
              </w:rPr>
              <w:t>乡村建设为抓手，探索创建“未来社区+未来乡村（村庄）”联动发展示范区。</w:t>
            </w:r>
          </w:p>
          <w:p>
            <w:pPr>
              <w:spacing w:line="300" w:lineRule="exact"/>
              <w:ind w:firstLine="472" w:firstLineChars="200"/>
              <w:rPr>
                <w:rFonts w:ascii="仿宋_GB2312"/>
                <w:sz w:val="24"/>
              </w:rPr>
            </w:pPr>
            <w:r>
              <w:rPr>
                <w:rFonts w:hint="eastAsia" w:ascii="仿宋_GB2312"/>
                <w:sz w:val="24"/>
              </w:rPr>
              <w:t>环保设施建设工程。加大污水处理设施及固废处置设施建设力度，加快路桥区滨海污水处理厂三期扩建工程前期工作，推进台州市区有机物循环利用中心改扩建工程、温岭市危险废物集中处置设施项目（二期）等项目建设。</w:t>
            </w:r>
          </w:p>
          <w:p>
            <w:pPr>
              <w:spacing w:line="300" w:lineRule="exact"/>
              <w:ind w:firstLine="472" w:firstLineChars="200"/>
              <w:rPr>
                <w:sz w:val="24"/>
                <w:shd w:val="clear" w:color="auto" w:fill="FFFFFF"/>
              </w:rPr>
            </w:pPr>
            <w:r>
              <w:rPr>
                <w:rFonts w:hint="eastAsia" w:ascii="仿宋_GB2312"/>
                <w:sz w:val="24"/>
              </w:rPr>
              <w:t>便民生活数字化赋能行动。全面启动“数字生活新服务”工程，推进网上菜场、餐厅、超市、家政、邮政（快递）、市场和培训建设。加强家政服务智慧平台建设，提升“浙家政”综合服务应用，全市域推广使用家政“安心码”</w:t>
            </w:r>
            <w:r>
              <w:rPr>
                <w:sz w:val="24"/>
              </w:rPr>
              <w:t>。</w:t>
            </w:r>
          </w:p>
        </w:tc>
      </w:tr>
    </w:tbl>
    <w:p>
      <w:pPr>
        <w:spacing w:line="600" w:lineRule="exact"/>
        <w:ind w:firstLine="632" w:firstLineChars="200"/>
        <w:outlineLvl w:val="1"/>
        <w:rPr>
          <w:rFonts w:ascii="楷体_GB2312" w:hAnsi="楷体_GB2312" w:eastAsia="楷体_GB2312" w:cs="楷体_GB2312"/>
          <w:szCs w:val="32"/>
        </w:rPr>
      </w:pPr>
      <w:r>
        <w:rPr>
          <w:rFonts w:ascii="楷体_GB2312" w:hAnsi="楷体_GB2312" w:eastAsia="楷体_GB2312" w:cs="楷体_GB2312"/>
          <w:szCs w:val="32"/>
        </w:rPr>
        <w:t>（七）聚焦老有所养，完善幸福养老服务</w:t>
      </w:r>
      <w:r>
        <w:rPr>
          <w:rFonts w:hint="eastAsia" w:ascii="楷体_GB2312" w:hAnsi="楷体_GB2312" w:eastAsia="楷体_GB2312" w:cs="楷体_GB2312"/>
          <w:szCs w:val="32"/>
        </w:rPr>
        <w:t>。</w:t>
      </w:r>
    </w:p>
    <w:p>
      <w:pPr>
        <w:spacing w:line="600" w:lineRule="exact"/>
        <w:ind w:firstLine="632" w:firstLineChars="200"/>
        <w:rPr>
          <w:szCs w:val="32"/>
        </w:rPr>
      </w:pPr>
      <w:r>
        <w:rPr>
          <w:szCs w:val="32"/>
        </w:rPr>
        <w:t>积极应对人口老龄化，加快全市养老服务体系建设，完善以居家为基础、社区为依托、机构为补充、医养结合的养老服务格局，进一步优化基本养老服务供给，建设老年友好型社会。</w:t>
      </w:r>
    </w:p>
    <w:p>
      <w:pPr>
        <w:spacing w:line="600" w:lineRule="exact"/>
        <w:ind w:firstLine="632" w:firstLineChars="200"/>
        <w:rPr>
          <w:szCs w:val="32"/>
        </w:rPr>
      </w:pPr>
      <w:r>
        <w:rPr>
          <w:szCs w:val="32"/>
        </w:rPr>
        <w:t>提高养老保障水平。完善城乡居民养老保险制度，健全社会统筹与个人账户相结合的职工基本养老保险制度和个人账户制度。落实国家政策，积极做好</w:t>
      </w:r>
      <w:r>
        <w:rPr>
          <w:rFonts w:hint="eastAsia"/>
          <w:szCs w:val="32"/>
        </w:rPr>
        <w:t>企业</w:t>
      </w:r>
      <w:r>
        <w:rPr>
          <w:szCs w:val="32"/>
        </w:rPr>
        <w:t>职工基础养老</w:t>
      </w:r>
      <w:r>
        <w:rPr>
          <w:rFonts w:hint="eastAsia"/>
          <w:szCs w:val="32"/>
        </w:rPr>
        <w:t>保险</w:t>
      </w:r>
      <w:r>
        <w:rPr>
          <w:szCs w:val="32"/>
        </w:rPr>
        <w:t>全国统筹和省级统收统支。积极发展企业年金、职业年金以及个人储蓄性养老保险和商业保险，构建多层次的养老保障体系。建立覆盖全体参保人员的基本养老保险待遇合理调整机制，逐步提高退休人员基本养老金和居民基础养老金标准。规范完善被征地农民参加基本养老保险政策，推进被征地农民养老保险政策落实。完善养老保险转移接续政策，建立更加便捷的养老保险转移接续机制。加强社保基金监管运营，确保基金保值增值。到2025年底基本养老保险法定人员覆盖率达到</w:t>
      </w:r>
      <w:r>
        <w:rPr>
          <w:rFonts w:hint="eastAsia"/>
          <w:szCs w:val="32"/>
        </w:rPr>
        <w:t>98</w:t>
      </w:r>
      <w:r>
        <w:rPr>
          <w:szCs w:val="32"/>
        </w:rPr>
        <w:t>%以上。</w:t>
      </w:r>
    </w:p>
    <w:p>
      <w:pPr>
        <w:spacing w:line="600" w:lineRule="exact"/>
        <w:ind w:firstLine="632" w:firstLineChars="200"/>
        <w:rPr>
          <w:rFonts w:ascii="仿宋_GB2312"/>
          <w:szCs w:val="32"/>
        </w:rPr>
      </w:pPr>
      <w:r>
        <w:rPr>
          <w:szCs w:val="32"/>
        </w:rPr>
        <w:t>提升公共养老服务能力。推进养老服务设施布局建设，加快台州市社会福利院工程</w:t>
      </w:r>
      <w:r>
        <w:rPr>
          <w:rFonts w:hint="eastAsia"/>
          <w:szCs w:val="32"/>
        </w:rPr>
        <w:t>建成投用</w:t>
      </w:r>
      <w:r>
        <w:rPr>
          <w:szCs w:val="32"/>
        </w:rPr>
        <w:t>，鼓励有条件的县（市、区）建设社会福利中心（福利院），推进乡镇（街道）敬老院</w:t>
      </w:r>
      <w:r>
        <w:rPr>
          <w:rFonts w:hint="eastAsia"/>
          <w:szCs w:val="32"/>
        </w:rPr>
        <w:t>转型升级</w:t>
      </w:r>
      <w:r>
        <w:rPr>
          <w:szCs w:val="32"/>
        </w:rPr>
        <w:t>，确保每个</w:t>
      </w:r>
      <w:r>
        <w:rPr>
          <w:rFonts w:hint="eastAsia"/>
          <w:szCs w:val="32"/>
        </w:rPr>
        <w:t>县</w:t>
      </w:r>
      <w:r>
        <w:rPr>
          <w:szCs w:val="32"/>
        </w:rPr>
        <w:t>（</w:t>
      </w:r>
      <w:r>
        <w:rPr>
          <w:rFonts w:hint="eastAsia"/>
          <w:szCs w:val="32"/>
        </w:rPr>
        <w:t>市、区</w:t>
      </w:r>
      <w:r>
        <w:rPr>
          <w:szCs w:val="32"/>
        </w:rPr>
        <w:t>）至少建有1家公办养老院。新建一批以护理型为主的养老机构，突出养老机构的生活照料、康复护理及助医服务功能，到2025年，力争护理型床位占机构床位的</w:t>
      </w:r>
      <w:r>
        <w:rPr>
          <w:rFonts w:hint="eastAsia"/>
          <w:szCs w:val="32"/>
        </w:rPr>
        <w:t>58</w:t>
      </w:r>
      <w:r>
        <w:rPr>
          <w:szCs w:val="32"/>
        </w:rPr>
        <w:t>%。深化全国居家和社区养老</w:t>
      </w:r>
      <w:r>
        <w:rPr>
          <w:rFonts w:hint="eastAsia" w:ascii="仿宋_GB2312"/>
          <w:szCs w:val="32"/>
        </w:rPr>
        <w:t>服务试点改革成果落地，实现乡镇（街道）居家养老服务中心全覆盖，持续创新“家院互融”社区养老模式，</w:t>
      </w:r>
      <w:r>
        <w:rPr>
          <w:rFonts w:hint="eastAsia" w:ascii="仿宋_GB2312"/>
          <w:bCs/>
          <w:szCs w:val="32"/>
        </w:rPr>
        <w:t>探索</w:t>
      </w:r>
      <w:r>
        <w:rPr>
          <w:rFonts w:hint="eastAsia" w:ascii="仿宋_GB2312"/>
          <w:szCs w:val="32"/>
        </w:rPr>
        <w:t>打造嵌入式“小微机构”</w:t>
      </w:r>
      <w:r>
        <w:rPr>
          <w:rFonts w:hint="eastAsia" w:ascii="仿宋_GB2312"/>
          <w:bCs/>
          <w:szCs w:val="32"/>
        </w:rPr>
        <w:t>。</w:t>
      </w:r>
      <w:r>
        <w:rPr>
          <w:rFonts w:hint="eastAsia" w:ascii="仿宋_GB2312"/>
          <w:szCs w:val="32"/>
        </w:rPr>
        <w:t>推进敬老院改造提升，加强城郊地区、山区等地老年人的基本养老服务保障。</w:t>
      </w:r>
    </w:p>
    <w:p>
      <w:pPr>
        <w:spacing w:line="600" w:lineRule="exact"/>
        <w:ind w:firstLine="632" w:firstLineChars="200"/>
        <w:rPr>
          <w:rFonts w:ascii="仿宋_GB2312"/>
          <w:kern w:val="0"/>
          <w:szCs w:val="32"/>
        </w:rPr>
      </w:pPr>
      <w:r>
        <w:rPr>
          <w:rFonts w:hint="eastAsia" w:ascii="仿宋_GB2312"/>
          <w:szCs w:val="32"/>
        </w:rPr>
        <w:t>扩大优质养老服务供给。推进公办养老院国企化改革和公建民营，推进民办公助、政府购买服务，鼓励开展连锁化经营。统筹整合康养资源，</w:t>
      </w:r>
      <w:r>
        <w:rPr>
          <w:rFonts w:hint="eastAsia" w:ascii="仿宋_GB2312"/>
          <w:kern w:val="0"/>
          <w:szCs w:val="32"/>
        </w:rPr>
        <w:t>推进医养结合，构建健康教育、预防保健、疾病诊治、康复护理、长期照护等老年健康服务体系。开展康养联合体建设试点，培育康养联合</w:t>
      </w:r>
      <w:r>
        <w:rPr>
          <w:kern w:val="0"/>
          <w:szCs w:val="32"/>
        </w:rPr>
        <w:t>体</w:t>
      </w:r>
      <w:r>
        <w:rPr>
          <w:rFonts w:eastAsia="宋体"/>
          <w:kern w:val="0"/>
          <w:szCs w:val="32"/>
        </w:rPr>
        <w:t>100</w:t>
      </w:r>
      <w:r>
        <w:rPr>
          <w:kern w:val="0"/>
          <w:szCs w:val="32"/>
        </w:rPr>
        <w:t>个。</w:t>
      </w:r>
      <w:r>
        <w:rPr>
          <w:rFonts w:hint="eastAsia" w:ascii="仿宋_GB2312"/>
          <w:szCs w:val="32"/>
        </w:rPr>
        <w:t>加快发展民办养老机构，重点发展一批日托型、疗养型养老机构，推进温岭市沁溪源颐养城等一批高端项目建设。</w:t>
      </w:r>
      <w:r>
        <w:rPr>
          <w:rFonts w:hint="eastAsia" w:ascii="仿宋_GB2312"/>
          <w:kern w:val="0"/>
          <w:szCs w:val="32"/>
        </w:rPr>
        <w:t>发展互助性养老服务，推广“老年公寓+养老服务”“物业服务+养老服务”等模式，</w:t>
      </w:r>
      <w:r>
        <w:rPr>
          <w:rFonts w:hint="eastAsia" w:ascii="仿宋_GB2312"/>
          <w:szCs w:val="32"/>
        </w:rPr>
        <w:t>探索“志愿型”“储蓄型”互助养老模式。加强异地养老机构互助合作，探索异地养老、候鸟式养老等服务。</w:t>
      </w:r>
    </w:p>
    <w:p>
      <w:pPr>
        <w:spacing w:line="600" w:lineRule="exact"/>
        <w:ind w:firstLine="632" w:firstLineChars="200"/>
        <w:rPr>
          <w:szCs w:val="32"/>
        </w:rPr>
      </w:pPr>
      <w:r>
        <w:rPr>
          <w:szCs w:val="32"/>
        </w:rPr>
        <w:t>大力推广</w:t>
      </w:r>
      <w:r>
        <w:rPr>
          <w:rFonts w:hint="eastAsia" w:ascii="仿宋_GB2312"/>
          <w:szCs w:val="32"/>
        </w:rPr>
        <w:t>智慧养老。充分发挥市级“智慧养老”服务和监管平台的作用，深化对接“浙里养”智慧服务平台，构建养老服务数据算法模型，探索迭代升级的“互联网+养老”模式。大力推广智慧居家养老服务模式，推进“互联网+社区居家养老”，为居家老人提供线上线下服务。积极</w:t>
      </w:r>
      <w:r>
        <w:rPr>
          <w:szCs w:val="32"/>
        </w:rPr>
        <w:t>应用VR探视、远程看护、健康咨询、安全监控等物联网技术，以</w:t>
      </w:r>
      <w:r>
        <w:rPr>
          <w:bCs/>
          <w:szCs w:val="32"/>
        </w:rPr>
        <w:t>数字技术赋能养老为导向，率先探索打造智慧养老院。</w:t>
      </w:r>
      <w:r>
        <w:rPr>
          <w:szCs w:val="32"/>
        </w:rPr>
        <w:t>探索发展虚拟养老院。</w:t>
      </w:r>
    </w:p>
    <w:p>
      <w:pPr>
        <w:spacing w:line="600" w:lineRule="exact"/>
        <w:ind w:firstLine="632" w:firstLineChars="200"/>
        <w:rPr>
          <w:szCs w:val="32"/>
        </w:rPr>
      </w:pPr>
      <w:r>
        <w:rPr>
          <w:bCs/>
          <w:szCs w:val="32"/>
        </w:rPr>
        <w:t>推进老年宜居环境建设。</w:t>
      </w:r>
      <w:r>
        <w:rPr>
          <w:szCs w:val="32"/>
        </w:rPr>
        <w:t>探索建立失能失智老年人长期照护政策。</w:t>
      </w:r>
      <w:r>
        <w:rPr>
          <w:rFonts w:hint="eastAsia"/>
          <w:szCs w:val="32"/>
        </w:rPr>
        <w:t>探索</w:t>
      </w:r>
      <w:r>
        <w:rPr>
          <w:szCs w:val="32"/>
        </w:rPr>
        <w:t>实施长期护理保险制度试点，鼓励发展长期护理商业保险产品。推进公共设施和家庭适老化建设与改造，新建城市道路、公共场所和涉老设施场所无障碍化率达100%。大力发展养老产业和老年用品，不断丰富养老服务业态。大力发展老年教育，扎实开展群众性老年文化活动和老年人体育</w:t>
      </w:r>
      <w:r>
        <w:rPr>
          <w:rFonts w:hint="eastAsia"/>
          <w:szCs w:val="32"/>
        </w:rPr>
        <w:t>锻炼及</w:t>
      </w:r>
      <w:r>
        <w:rPr>
          <w:szCs w:val="32"/>
        </w:rPr>
        <w:t>赛事活动。推进养老服务队伍建设，加强老年康复医师、康复治疗师与康复辅助器具配置人才培养。</w:t>
      </w:r>
    </w:p>
    <w:p>
      <w:pPr>
        <w:spacing w:line="600" w:lineRule="exact"/>
        <w:ind w:firstLine="632" w:firstLineChars="200"/>
        <w:outlineLvl w:val="1"/>
        <w:rPr>
          <w:rFonts w:ascii="楷体_GB2312" w:hAnsi="楷体_GB2312" w:eastAsia="楷体_GB2312" w:cs="楷体_GB2312"/>
          <w:szCs w:val="32"/>
        </w:rPr>
      </w:pPr>
      <w:r>
        <w:rPr>
          <w:rFonts w:ascii="楷体_GB2312" w:hAnsi="楷体_GB2312" w:eastAsia="楷体_GB2312" w:cs="楷体_GB2312"/>
          <w:szCs w:val="32"/>
        </w:rPr>
        <w:t>（八）聚焦弱有所扶，完善兜底保障服务</w:t>
      </w:r>
      <w:r>
        <w:rPr>
          <w:rFonts w:hint="eastAsia" w:ascii="楷体_GB2312" w:hAnsi="楷体_GB2312" w:eastAsia="楷体_GB2312" w:cs="楷体_GB2312"/>
          <w:szCs w:val="32"/>
        </w:rPr>
        <w:t>。</w:t>
      </w:r>
    </w:p>
    <w:p>
      <w:pPr>
        <w:spacing w:line="600" w:lineRule="exact"/>
        <w:ind w:firstLine="632" w:firstLineChars="200"/>
        <w:rPr>
          <w:szCs w:val="32"/>
        </w:rPr>
      </w:pPr>
      <w:r>
        <w:rPr>
          <w:szCs w:val="32"/>
        </w:rPr>
        <w:t>以保障和改善民生为出发点，统筹社会救助、社会福利、优抚安置和社会事务，建立更加公平可持续的社会保障体系，不断提高服务标准和能力，使广大群众共享便利、高效、优质的社会保障服务。</w:t>
      </w:r>
    </w:p>
    <w:p>
      <w:pPr>
        <w:spacing w:line="600" w:lineRule="exact"/>
        <w:ind w:firstLine="632" w:firstLineChars="200"/>
        <w:rPr>
          <w:rFonts w:ascii="仿宋_GB2312"/>
          <w:szCs w:val="32"/>
        </w:rPr>
      </w:pPr>
      <w:r>
        <w:rPr>
          <w:szCs w:val="32"/>
        </w:rPr>
        <w:t>完善社会救助体系。积极构建精准救助协同体系，统筹推进低保、特困、受灾、临时救助等8项基本救助。健全最低生活保障标准调整机制，到2025年全市最低生活保障年标准达到</w:t>
      </w:r>
      <w:r>
        <w:rPr>
          <w:rFonts w:hint="eastAsia"/>
          <w:szCs w:val="32"/>
        </w:rPr>
        <w:t>13000</w:t>
      </w:r>
      <w:r>
        <w:rPr>
          <w:szCs w:val="32"/>
        </w:rPr>
        <w:t>元以上。扩大救助人群范围，鼓励有条件的地方探索救助对象由户籍人口向常住人口拓展。加强困难群体帮扶救助力度，实施差别化救助，着重加大对农民工、残疾人、流浪乞讨人员、流浪未成年人的救助和保护力度，特困人员救助供养标准达到当地低保标准1.3倍以上。拓展帮扶内</w:t>
      </w:r>
      <w:r>
        <w:rPr>
          <w:rFonts w:hint="eastAsia" w:ascii="仿宋_GB2312"/>
          <w:szCs w:val="32"/>
        </w:rPr>
        <w:t>容，建立教育、医疗、就业、生活、住房等全方位、立体化、长效性救助体系。大力发展慈善事业，开展以扶贫济困为重点的慈善活动。</w:t>
      </w:r>
    </w:p>
    <w:p>
      <w:pPr>
        <w:spacing w:line="600" w:lineRule="exact"/>
        <w:ind w:firstLine="632" w:firstLineChars="200"/>
        <w:rPr>
          <w:rFonts w:ascii="仿宋_GB2312"/>
          <w:szCs w:val="32"/>
        </w:rPr>
      </w:pPr>
      <w:r>
        <w:rPr>
          <w:rFonts w:hint="eastAsia" w:ascii="仿宋_GB2312"/>
          <w:szCs w:val="32"/>
        </w:rPr>
        <w:t>提升社会福利水平。大力推进社会福利社会化，加快发展以助残、济困为重点的社会福利事业。支持残疾人事业发展，加大残疾人基本生活和就业保障，加强残疾人康复和托养服务，</w:t>
      </w:r>
      <w:r>
        <w:rPr>
          <w:rFonts w:hint="eastAsia" w:ascii="仿宋_GB2312" w:hAnsi="Calibri"/>
          <w:szCs w:val="32"/>
        </w:rPr>
        <w:t>扶持残疾人自主就业创业，</w:t>
      </w:r>
      <w:r>
        <w:rPr>
          <w:rFonts w:hint="eastAsia" w:ascii="仿宋_GB2312"/>
          <w:szCs w:val="32"/>
        </w:rPr>
        <w:t>打造“台州版”残疾人之家。</w:t>
      </w:r>
      <w:r>
        <w:rPr>
          <w:rFonts w:hint="eastAsia" w:ascii="仿宋_GB2312" w:hAnsi="Calibri"/>
          <w:szCs w:val="32"/>
        </w:rPr>
        <w:t xml:space="preserve">促进妇女全面发展，关爱贫困妇女、病残妇女、单亲母亲、老年妇女等特殊群体，提高妇女健康素养。 </w:t>
      </w:r>
    </w:p>
    <w:p>
      <w:pPr>
        <w:spacing w:line="600" w:lineRule="exact"/>
        <w:ind w:firstLine="632" w:firstLineChars="200"/>
        <w:rPr>
          <w:rFonts w:ascii="仿宋_GB2312"/>
          <w:szCs w:val="32"/>
        </w:rPr>
      </w:pPr>
      <w:r>
        <w:rPr>
          <w:rFonts w:hint="eastAsia" w:ascii="仿宋_GB2312"/>
          <w:szCs w:val="32"/>
        </w:rPr>
        <w:t>加大优抚安置力度。落实各项优抚安置政策，提升对复员退伍军人、军休人员优抚安置和服务保障能力。完善优抚政策和优抚对象抚恤优待标准动态调整机制。深化“全国示范型退役军人服务站”“新时代枫桥式退役军人服务站”创建，实现“达标型”全覆盖。</w:t>
      </w:r>
      <w:r>
        <w:rPr>
          <w:rFonts w:hint="eastAsia" w:ascii="仿宋_GB2312"/>
          <w:kern w:val="0"/>
          <w:szCs w:val="32"/>
        </w:rPr>
        <w:t>推</w:t>
      </w:r>
      <w:r>
        <w:rPr>
          <w:rFonts w:hint="eastAsia" w:ascii="仿宋_GB2312"/>
          <w:szCs w:val="32"/>
        </w:rPr>
        <w:t>进“退役军人全生命周期管理保障工作”改革，提升集成服务功能。提升退役军人就业安置质量，推进创建退役军人就业创业基地，搭建孵化器、众创空间，推出惠军金融产品。</w:t>
      </w:r>
    </w:p>
    <w:p>
      <w:pPr>
        <w:spacing w:line="600" w:lineRule="exact"/>
        <w:ind w:firstLine="632" w:firstLineChars="200"/>
        <w:rPr>
          <w:rFonts w:ascii="仿宋_GB2312"/>
          <w:szCs w:val="32"/>
        </w:rPr>
      </w:pPr>
      <w:r>
        <w:rPr>
          <w:rFonts w:hint="eastAsia" w:ascii="仿宋_GB2312"/>
          <w:szCs w:val="32"/>
        </w:rPr>
        <w:t>加强社会事务管理。落实全市绿色殡葬建设规划，加快树葬等节地生态公益性公墓建设，规范经营性公墓管理。持续提升婚姻收养登记管理服务水平。加强和规范地名管理。推进公共法律服务全职能进驻县级矛盾纠纷调处化解中心，开展一站式智能化、规范化公共法律服务。健全认罪认罚案件法律援助参与机制，落实刑事法律援助全覆盖。</w:t>
      </w:r>
    </w:p>
    <w:p>
      <w:pPr>
        <w:spacing w:line="600" w:lineRule="exact"/>
        <w:ind w:firstLine="632" w:firstLineChars="200"/>
        <w:outlineLvl w:val="1"/>
        <w:rPr>
          <w:rFonts w:ascii="楷体_GB2312" w:hAnsi="楷体_GB2312" w:eastAsia="楷体_GB2312" w:cs="楷体_GB2312"/>
          <w:szCs w:val="32"/>
        </w:rPr>
      </w:pPr>
      <w:r>
        <w:rPr>
          <w:rFonts w:ascii="楷体_GB2312" w:hAnsi="楷体_GB2312" w:eastAsia="楷体_GB2312" w:cs="楷体_GB2312"/>
          <w:szCs w:val="32"/>
        </w:rPr>
        <w:t>（九）聚焦安有所保，完善公共安全服务</w:t>
      </w:r>
      <w:r>
        <w:rPr>
          <w:rFonts w:hint="eastAsia" w:ascii="楷体_GB2312" w:hAnsi="楷体_GB2312" w:eastAsia="楷体_GB2312" w:cs="楷体_GB2312"/>
          <w:szCs w:val="32"/>
        </w:rPr>
        <w:t>。</w:t>
      </w:r>
    </w:p>
    <w:p>
      <w:pPr>
        <w:spacing w:line="600" w:lineRule="exact"/>
        <w:ind w:firstLine="632" w:firstLineChars="200"/>
        <w:rPr>
          <w:rFonts w:ascii="仿宋_GB2312"/>
          <w:szCs w:val="32"/>
        </w:rPr>
      </w:pPr>
      <w:r>
        <w:rPr>
          <w:szCs w:val="32"/>
        </w:rPr>
        <w:t>以建设更高水</w:t>
      </w:r>
      <w:r>
        <w:rPr>
          <w:rFonts w:hint="eastAsia" w:ascii="仿宋_GB2312"/>
          <w:szCs w:val="32"/>
        </w:rPr>
        <w:t>平的“和谐台州”“平安台州”为目标，坚持共建共治共享，推进市域社会治理体系和治理能力现代化，提供更为优质的公共安全服务，不断提升人民群众的安全感和满意度。</w:t>
      </w:r>
    </w:p>
    <w:p>
      <w:pPr>
        <w:spacing w:line="600" w:lineRule="exact"/>
        <w:ind w:firstLine="632" w:firstLineChars="200"/>
        <w:rPr>
          <w:rFonts w:ascii="仿宋_GB2312"/>
          <w:szCs w:val="32"/>
        </w:rPr>
      </w:pPr>
      <w:r>
        <w:rPr>
          <w:rFonts w:hint="eastAsia" w:ascii="仿宋_GB2312"/>
          <w:szCs w:val="32"/>
        </w:rPr>
        <w:t>健全社会治安防控体系。构建全域立体化智能防控体系。加快实施“天网”工程，大力推进以“雪亮工程”为龙头的感知体系建设。加强基层群众性自治组织建设，推动形成“社区大党委+社会组织+居民自治”的治理格局。加强流动人口、特殊群体的服务管理，强化重点人员的稳控工作。常态化开展扫黑除恶专项斗争，争创全国社会治安防控体系建设示范城市。深入开展不安定因素排查工作，强化矛盾纠纷排查化解。进一步健全社会利益表达和协调机制，完善重大决策风险稳定评估机制。</w:t>
      </w:r>
    </w:p>
    <w:p>
      <w:pPr>
        <w:spacing w:line="600" w:lineRule="exact"/>
        <w:ind w:firstLine="632" w:firstLineChars="200"/>
        <w:rPr>
          <w:rFonts w:ascii="仿宋_GB2312"/>
          <w:szCs w:val="32"/>
        </w:rPr>
      </w:pPr>
      <w:r>
        <w:rPr>
          <w:rFonts w:hint="eastAsia" w:ascii="仿宋_GB2312"/>
          <w:szCs w:val="32"/>
        </w:rPr>
        <w:t>提升食品药品安全水平。深化“双安双创”工作，统筹推进国家农产品质量安全市创建，谋划国家食品安全示范市创建，鼓励有条件县（市、区）争创国家农产品质量安全县。深入开展食品八大专项攻坚行动和药品三大专项治理行动，重点加强冷链食品的管控力度，系统化提升重点领域食品药品安全水平。推进全市食品药品安全专业技术机构能力建设，提升食品安全风险监测设备配置率。强化生产经营者主体责任，推进食品药品追溯体系建设，完善全程追溯协作机制。推进食品药品生产经营企业信用分级分类管理，强化安全信用监管和联合惩戒。</w:t>
      </w:r>
    </w:p>
    <w:p>
      <w:pPr>
        <w:spacing w:line="600" w:lineRule="exact"/>
        <w:ind w:firstLine="632" w:firstLineChars="200"/>
        <w:rPr>
          <w:szCs w:val="32"/>
        </w:rPr>
      </w:pPr>
      <w:r>
        <w:rPr>
          <w:rFonts w:hint="eastAsia" w:ascii="仿宋_GB2312"/>
          <w:szCs w:val="32"/>
        </w:rPr>
        <w:t>强化安全生产监管。健全完善企业安全生产责任制，完善形成以落实企业主要负责人安全责任为重点的企业安全生产主体责任体系。开展重点领域安全生产综合整治，重点加强危险化学品、交通运输、工业园区、矿山、消防、渔业船舶、城市建设、危险废物等行业领域的专项治理，切实消除安全风险隐患。推进安全生产风险防控和应急救援数字化建设，系统构建“风险领域一个库”“隐患排查一图一端”“实时监测一平台”“智能感知一张网”“融合通信一系统”。推进安全生</w:t>
      </w:r>
      <w:r>
        <w:rPr>
          <w:szCs w:val="32"/>
        </w:rPr>
        <w:t>产社会化服务和标准化创建工作，完善安全生产举报奖励制度。</w:t>
      </w:r>
      <w:r>
        <w:rPr>
          <w:rFonts w:hint="eastAsia"/>
          <w:szCs w:val="32"/>
        </w:rPr>
        <w:t>到2025年底，亿元生产总值生产安全事故死亡率下降到0.01%以下</w:t>
      </w:r>
      <w:r>
        <w:rPr>
          <w:szCs w:val="32"/>
        </w:rPr>
        <w:t xml:space="preserve">。 </w:t>
      </w:r>
    </w:p>
    <w:p>
      <w:pPr>
        <w:spacing w:line="600" w:lineRule="exact"/>
        <w:ind w:firstLine="632" w:firstLineChars="200"/>
        <w:rPr>
          <w:rFonts w:ascii="仿宋_GB2312"/>
          <w:szCs w:val="32"/>
        </w:rPr>
      </w:pPr>
      <w:r>
        <w:rPr>
          <w:szCs w:val="32"/>
        </w:rPr>
        <w:t>构建</w:t>
      </w:r>
      <w:r>
        <w:rPr>
          <w:rFonts w:hint="eastAsia"/>
          <w:szCs w:val="32"/>
        </w:rPr>
        <w:t>放心</w:t>
      </w:r>
      <w:r>
        <w:rPr>
          <w:szCs w:val="32"/>
        </w:rPr>
        <w:t>消</w:t>
      </w:r>
      <w:r>
        <w:rPr>
          <w:rFonts w:hint="eastAsia" w:ascii="仿宋_GB2312"/>
          <w:szCs w:val="32"/>
        </w:rPr>
        <w:t>费环境。深化“放心消费在台州”行动，全面建成放心消费城市，全力打响“和合台州·放心消费”品牌。全面提升放心消费单位覆盖面，覆盖主要商场、市场、街区、乡村。强化经营者责任，建立落实消费环节经营者首问和赔偿先付制度。加强维权网络建设，推进数字化改革赋能消费维权工作，深化消费投诉信息公示。加大执法监督力度，集中开展保护消费安全、打击农村假冒伪劣食品等专项整治。大力开展“</w:t>
      </w:r>
      <w:r>
        <w:rPr>
          <w:szCs w:val="32"/>
        </w:rPr>
        <w:t>3·15国际消费者权益</w:t>
      </w:r>
      <w:r>
        <w:rPr>
          <w:rFonts w:hint="eastAsia" w:ascii="仿宋_GB2312"/>
          <w:szCs w:val="32"/>
        </w:rPr>
        <w:t>日”主题系列活动，依法保护消费者权益。</w:t>
      </w:r>
    </w:p>
    <w:p>
      <w:pPr>
        <w:spacing w:line="600" w:lineRule="exact"/>
        <w:ind w:firstLine="632" w:firstLineChars="200"/>
        <w:rPr>
          <w:rFonts w:ascii="仿宋_GB2312"/>
          <w:szCs w:val="32"/>
        </w:rPr>
      </w:pPr>
      <w:r>
        <w:rPr>
          <w:rFonts w:hint="eastAsia" w:ascii="仿宋_GB2312"/>
          <w:szCs w:val="32"/>
        </w:rPr>
        <w:t>完善防灾救灾与应急体系。强化“大应急”体系建设，健全统一领导、权责一致、综合协调、运转高效的应急管理体系。推</w:t>
      </w:r>
      <w:r>
        <w:rPr>
          <w:rFonts w:hint="eastAsia" w:ascii="仿宋_GB2312"/>
          <w:color w:val="auto"/>
          <w:szCs w:val="32"/>
        </w:rPr>
        <w:t>进规范化避灾安置场所创建，开展乡镇及村居级规范化避灾安置示范单位建设，构建安全避灾保障网。加强自然灾害应急防范能力建设，健全气象灾害预案及应急机制。实施江河固堤、平原扩排、海塘提标、除险加固等防汛排涝工程，基本建成分级设防、保弃有序的“蓄滞挡排”工程体系。强化应急物资保障，完</w:t>
      </w:r>
      <w:r>
        <w:rPr>
          <w:rFonts w:hint="eastAsia" w:ascii="仿宋_GB2312"/>
          <w:szCs w:val="32"/>
        </w:rPr>
        <w:t>善重要应急物资监管、生产、储备、调拨和紧急配送体系。</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823" w:type="dxa"/>
          </w:tcPr>
          <w:p>
            <w:pPr>
              <w:spacing w:line="500" w:lineRule="exact"/>
              <w:jc w:val="center"/>
              <w:rPr>
                <w:rFonts w:eastAsia="黑体"/>
                <w:bCs/>
                <w:sz w:val="28"/>
                <w:szCs w:val="28"/>
              </w:rPr>
            </w:pPr>
            <w:r>
              <w:rPr>
                <w:rFonts w:hAnsi="黑体" w:eastAsia="黑体"/>
                <w:sz w:val="28"/>
                <w:szCs w:val="28"/>
              </w:rPr>
              <w:t>专栏</w:t>
            </w:r>
            <w:r>
              <w:rPr>
                <w:rFonts w:eastAsia="黑体"/>
                <w:sz w:val="28"/>
                <w:szCs w:val="28"/>
              </w:rPr>
              <w:t>5</w:t>
            </w:r>
            <w:r>
              <w:rPr>
                <w:rFonts w:hAnsi="黑体" w:eastAsia="黑体"/>
                <w:sz w:val="28"/>
                <w:szCs w:val="28"/>
              </w:rPr>
              <w:t>公共安全服务提升重大工程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7" w:hRule="atLeast"/>
          <w:jc w:val="center"/>
        </w:trPr>
        <w:tc>
          <w:tcPr>
            <w:tcW w:w="8823" w:type="dxa"/>
            <w:vAlign w:val="center"/>
          </w:tcPr>
          <w:p>
            <w:pPr>
              <w:spacing w:line="300" w:lineRule="exact"/>
              <w:ind w:firstLine="472" w:firstLineChars="200"/>
              <w:rPr>
                <w:rFonts w:ascii="仿宋_GB2312"/>
                <w:sz w:val="24"/>
              </w:rPr>
            </w:pPr>
            <w:r>
              <w:rPr>
                <w:sz w:val="24"/>
              </w:rPr>
              <w:t>全域立体</w:t>
            </w:r>
            <w:r>
              <w:rPr>
                <w:rFonts w:hint="eastAsia" w:ascii="仿宋_GB2312"/>
                <w:sz w:val="24"/>
              </w:rPr>
              <w:t>化智能防控体系建设工程。以“智能感知、精准防控”为社会公共安全管理的新理念，以全域覆盖、全域感知及全域防控为主线，严密全域智能感知体系，灵敏全域安全风险隐患，精准政府部门社会治理，构建全域立体化智能防控体系，提升政府部门对社会公共安全风险的预警、预测和预防能力。</w:t>
            </w:r>
          </w:p>
          <w:p>
            <w:pPr>
              <w:spacing w:line="300" w:lineRule="exact"/>
              <w:ind w:firstLine="472" w:firstLineChars="200"/>
              <w:rPr>
                <w:rFonts w:ascii="仿宋_GB2312"/>
                <w:sz w:val="24"/>
              </w:rPr>
            </w:pPr>
            <w:r>
              <w:rPr>
                <w:rFonts w:hint="eastAsia" w:ascii="仿宋_GB2312"/>
                <w:sz w:val="24"/>
              </w:rPr>
              <w:t>避灾安置场所建设工程。按照“淘汰一批、新增一批、改造一批、提升一批、备用一批”的要求，加强统筹规划，避灾安置场所覆</w:t>
            </w:r>
            <w:r>
              <w:rPr>
                <w:sz w:val="24"/>
              </w:rPr>
              <w:t>盖率提高到</w:t>
            </w:r>
            <w:r>
              <w:rPr>
                <w:rFonts w:hint="eastAsia"/>
                <w:sz w:val="24"/>
              </w:rPr>
              <w:t>90</w:t>
            </w:r>
            <w:r>
              <w:rPr>
                <w:sz w:val="24"/>
              </w:rPr>
              <w:t>%</w:t>
            </w:r>
            <w:r>
              <w:rPr>
                <w:rFonts w:hint="eastAsia"/>
                <w:sz w:val="24"/>
              </w:rPr>
              <w:t>以上</w:t>
            </w:r>
            <w:r>
              <w:rPr>
                <w:sz w:val="24"/>
              </w:rPr>
              <w:t>，实现乡镇级避灾安置场所规范化建</w:t>
            </w:r>
            <w:r>
              <w:rPr>
                <w:rFonts w:hint="eastAsia" w:ascii="仿宋_GB2312"/>
                <w:sz w:val="24"/>
              </w:rPr>
              <w:t>设全覆盖。</w:t>
            </w:r>
          </w:p>
          <w:p>
            <w:pPr>
              <w:spacing w:line="300" w:lineRule="exact"/>
              <w:ind w:firstLine="472" w:firstLineChars="200"/>
              <w:rPr>
                <w:rFonts w:ascii="仿宋_GB2312"/>
                <w:sz w:val="24"/>
              </w:rPr>
            </w:pPr>
            <w:r>
              <w:rPr>
                <w:rFonts w:hint="eastAsia" w:ascii="仿宋_GB2312"/>
                <w:sz w:val="24"/>
              </w:rPr>
              <w:t>应急管理数字化建设工程。加快推进应急管理指挥平台升级改造工程、自然灾害数字化管理系统工程、安全生产数字化管理系统工程等建设，同步推进市防指成员单位及县、乡两级个性化应急指挥功能建设。</w:t>
            </w:r>
          </w:p>
          <w:p>
            <w:pPr>
              <w:spacing w:line="300" w:lineRule="exact"/>
              <w:ind w:firstLine="472" w:firstLineChars="200"/>
              <w:rPr>
                <w:sz w:val="24"/>
              </w:rPr>
            </w:pPr>
            <w:r>
              <w:rPr>
                <w:rFonts w:hint="eastAsia" w:ascii="仿宋_GB2312"/>
                <w:sz w:val="24"/>
              </w:rPr>
              <w:t>水利设施“三大攻坚”工程。积极推进海塘安澜工程、“百项千亿”工程等，进一步提高全市防洪排涝御潮能力，到</w:t>
            </w:r>
            <w:r>
              <w:rPr>
                <w:sz w:val="24"/>
              </w:rPr>
              <w:t>2025年，县级以上城市防洪能力</w:t>
            </w:r>
            <w:r>
              <w:rPr>
                <w:rFonts w:hint="eastAsia"/>
                <w:sz w:val="24"/>
              </w:rPr>
              <w:t>基本</w:t>
            </w:r>
            <w:r>
              <w:rPr>
                <w:sz w:val="24"/>
              </w:rPr>
              <w:t>达到50年一遇，沿海重点区域防潮能力达到50至100年一遇以上。</w:t>
            </w:r>
          </w:p>
          <w:p>
            <w:pPr>
              <w:spacing w:line="300" w:lineRule="exact"/>
              <w:ind w:firstLine="472" w:firstLineChars="200"/>
              <w:rPr>
                <w:sz w:val="24"/>
              </w:rPr>
            </w:pPr>
            <w:r>
              <w:rPr>
                <w:rFonts w:hint="eastAsia"/>
                <w:bCs/>
                <w:sz w:val="24"/>
              </w:rPr>
              <w:t>气象监测预报能力提升工程。</w:t>
            </w:r>
            <w:r>
              <w:rPr>
                <w:rFonts w:hint="eastAsia"/>
                <w:sz w:val="24"/>
              </w:rPr>
              <w:t>新建、升级气象监测站400个以上；升级新一代天气雷达，建设5部X波段相控阵雷达及25套高空垂直探测设备；实施大陈气候观象台、台风综合探测基地、突发强对流天气监测预警、城市积涝监测预警等项目。</w:t>
            </w:r>
          </w:p>
        </w:tc>
      </w:tr>
    </w:tbl>
    <w:p>
      <w:pPr>
        <w:spacing w:line="600" w:lineRule="exact"/>
        <w:ind w:firstLine="632" w:firstLineChars="200"/>
        <w:outlineLvl w:val="0"/>
        <w:rPr>
          <w:rFonts w:ascii="黑体" w:hAnsi="黑体" w:eastAsia="黑体" w:cs="黑体"/>
          <w:szCs w:val="32"/>
        </w:rPr>
      </w:pPr>
      <w:r>
        <w:rPr>
          <w:rFonts w:hint="eastAsia" w:ascii="黑体" w:hAnsi="黑体" w:eastAsia="黑体" w:cs="黑体"/>
          <w:bCs/>
          <w:szCs w:val="32"/>
        </w:rPr>
        <w:t>五、保障措施</w:t>
      </w:r>
    </w:p>
    <w:p>
      <w:pPr>
        <w:spacing w:line="600" w:lineRule="exact"/>
        <w:ind w:firstLine="632" w:firstLineChars="200"/>
        <w:outlineLvl w:val="1"/>
        <w:rPr>
          <w:rFonts w:ascii="楷体_GB2312" w:hAnsi="楷体_GB2312" w:eastAsia="楷体_GB2312" w:cs="楷体_GB2312"/>
          <w:szCs w:val="32"/>
        </w:rPr>
      </w:pPr>
      <w:r>
        <w:rPr>
          <w:rFonts w:ascii="楷体_GB2312" w:hAnsi="楷体_GB2312" w:eastAsia="楷体_GB2312" w:cs="楷体_GB2312"/>
          <w:szCs w:val="32"/>
        </w:rPr>
        <w:t>（一）加强组织保障</w:t>
      </w:r>
      <w:r>
        <w:rPr>
          <w:rFonts w:hint="eastAsia" w:ascii="楷体_GB2312" w:hAnsi="楷体_GB2312" w:eastAsia="楷体_GB2312" w:cs="楷体_GB2312"/>
          <w:szCs w:val="32"/>
        </w:rPr>
        <w:t>。</w:t>
      </w:r>
    </w:p>
    <w:p>
      <w:pPr>
        <w:spacing w:line="600" w:lineRule="exact"/>
        <w:ind w:firstLine="632" w:firstLineChars="200"/>
        <w:rPr>
          <w:szCs w:val="32"/>
        </w:rPr>
      </w:pPr>
      <w:r>
        <w:rPr>
          <w:kern w:val="0"/>
          <w:szCs w:val="32"/>
        </w:rPr>
        <w:t>加强党的统一领导，把党的领导贯穿于推进公共服务体系发展各个阶段、各个领域、各个环节。</w:t>
      </w:r>
      <w:r>
        <w:rPr>
          <w:szCs w:val="32"/>
        </w:rPr>
        <w:t>发挥好市推</w:t>
      </w:r>
      <w:r>
        <w:rPr>
          <w:kern w:val="0"/>
          <w:szCs w:val="32"/>
        </w:rPr>
        <w:t>进基本公共服务均等化工作协调小组作用，切实做好规划统筹、财政保障、监测评估和技术指导，</w:t>
      </w:r>
      <w:r>
        <w:rPr>
          <w:szCs w:val="32"/>
        </w:rPr>
        <w:t>不定期组织召开联席会议，统筹跨部门、跨地区、跨行政层级资源，形成合力共同推进规划有效实施。</w:t>
      </w:r>
    </w:p>
    <w:p>
      <w:pPr>
        <w:spacing w:line="600" w:lineRule="exact"/>
        <w:ind w:firstLine="632" w:firstLineChars="200"/>
        <w:outlineLvl w:val="1"/>
        <w:rPr>
          <w:rFonts w:ascii="楷体_GB2312" w:hAnsi="楷体_GB2312" w:eastAsia="楷体_GB2312" w:cs="楷体_GB2312"/>
          <w:szCs w:val="32"/>
        </w:rPr>
      </w:pPr>
      <w:r>
        <w:rPr>
          <w:rFonts w:ascii="楷体_GB2312" w:hAnsi="楷体_GB2312" w:eastAsia="楷体_GB2312" w:cs="楷体_GB2312"/>
          <w:szCs w:val="32"/>
        </w:rPr>
        <w:t>（二）明确责任分工</w:t>
      </w:r>
      <w:r>
        <w:rPr>
          <w:rFonts w:hint="eastAsia" w:ascii="楷体_GB2312" w:hAnsi="楷体_GB2312" w:eastAsia="楷体_GB2312" w:cs="楷体_GB2312"/>
          <w:szCs w:val="32"/>
        </w:rPr>
        <w:t>。</w:t>
      </w:r>
    </w:p>
    <w:p>
      <w:pPr>
        <w:spacing w:line="600" w:lineRule="exact"/>
        <w:ind w:firstLine="632" w:firstLineChars="200"/>
        <w:rPr>
          <w:szCs w:val="32"/>
        </w:rPr>
      </w:pPr>
      <w:r>
        <w:rPr>
          <w:rFonts w:hint="eastAsia"/>
          <w:szCs w:val="32"/>
        </w:rPr>
        <w:t>各地各部门要将公共服务提升作为提高社会治理能力和社会民生保障水平的重点任务，抓好制度完善、政策制定、督促检查和指导服务工作，明确责任分工，推动重点任务有效落实。</w:t>
      </w:r>
    </w:p>
    <w:p>
      <w:pPr>
        <w:spacing w:line="600" w:lineRule="exact"/>
        <w:ind w:firstLine="632" w:firstLineChars="200"/>
        <w:outlineLvl w:val="1"/>
        <w:rPr>
          <w:rFonts w:ascii="楷体_GB2312" w:hAnsi="楷体_GB2312" w:eastAsia="楷体_GB2312" w:cs="楷体_GB2312"/>
          <w:szCs w:val="32"/>
        </w:rPr>
      </w:pPr>
      <w:r>
        <w:rPr>
          <w:rFonts w:ascii="楷体_GB2312" w:hAnsi="楷体_GB2312" w:eastAsia="楷体_GB2312" w:cs="楷体_GB2312"/>
          <w:szCs w:val="32"/>
        </w:rPr>
        <w:t>（三）严格监督考评</w:t>
      </w:r>
      <w:r>
        <w:rPr>
          <w:rFonts w:hint="eastAsia" w:ascii="楷体_GB2312" w:hAnsi="楷体_GB2312" w:eastAsia="楷体_GB2312" w:cs="楷体_GB2312"/>
          <w:szCs w:val="32"/>
        </w:rPr>
        <w:t>。</w:t>
      </w:r>
    </w:p>
    <w:p>
      <w:pPr>
        <w:spacing w:line="600" w:lineRule="exact"/>
        <w:ind w:firstLine="632" w:firstLineChars="200"/>
        <w:rPr>
          <w:szCs w:val="32"/>
        </w:rPr>
      </w:pPr>
      <w:r>
        <w:rPr>
          <w:szCs w:val="32"/>
        </w:rPr>
        <w:t>强化人大和政协监督的作用，加强对公共服务全过程监管和信息公开。将规划主要目标任务纳入各级各部门绩效考核体系。加强公共服务全领域的监测分析，定期对规划的执行和落实情况开展督查和评估。常态化开展公共服务社会满意度调查。</w:t>
      </w:r>
    </w:p>
    <w:p>
      <w:pPr>
        <w:spacing w:line="600" w:lineRule="exact"/>
        <w:ind w:firstLine="632" w:firstLineChars="200"/>
        <w:outlineLvl w:val="1"/>
        <w:rPr>
          <w:rFonts w:ascii="楷体_GB2312" w:hAnsi="楷体_GB2312" w:eastAsia="楷体_GB2312" w:cs="楷体_GB2312"/>
          <w:szCs w:val="32"/>
        </w:rPr>
      </w:pPr>
      <w:r>
        <w:rPr>
          <w:rFonts w:ascii="楷体_GB2312" w:hAnsi="楷体_GB2312" w:eastAsia="楷体_GB2312" w:cs="楷体_GB2312"/>
          <w:szCs w:val="32"/>
        </w:rPr>
        <w:t>（四）推进项目实施</w:t>
      </w:r>
      <w:r>
        <w:rPr>
          <w:rFonts w:hint="eastAsia" w:ascii="楷体_GB2312" w:hAnsi="楷体_GB2312" w:eastAsia="楷体_GB2312" w:cs="楷体_GB2312"/>
          <w:szCs w:val="32"/>
        </w:rPr>
        <w:t>。</w:t>
      </w:r>
    </w:p>
    <w:p>
      <w:pPr>
        <w:spacing w:line="600" w:lineRule="exact"/>
        <w:ind w:firstLine="632" w:firstLineChars="200"/>
        <w:rPr>
          <w:rFonts w:eastAsia="宋体"/>
          <w:kern w:val="0"/>
          <w:sz w:val="24"/>
        </w:rPr>
      </w:pPr>
      <w:r>
        <w:rPr>
          <w:szCs w:val="32"/>
        </w:rPr>
        <w:t>根据本规划确定</w:t>
      </w:r>
      <w:r>
        <w:rPr>
          <w:kern w:val="0"/>
          <w:szCs w:val="32"/>
        </w:rPr>
        <w:t>的</w:t>
      </w:r>
      <w:r>
        <w:rPr>
          <w:rFonts w:hint="eastAsia" w:ascii="仿宋_GB2312" w:hAnsi="宋体"/>
          <w:kern w:val="0"/>
          <w:szCs w:val="32"/>
        </w:rPr>
        <w:t>目标任务，</w:t>
      </w:r>
      <w:r>
        <w:rPr>
          <w:rFonts w:hint="eastAsia" w:ascii="仿宋_GB2312" w:hAnsi="宋体"/>
          <w:szCs w:val="32"/>
        </w:rPr>
        <w:t>统筹谋划，大力实施一批关系全市公共服务提升的全局性、战略性重大改革、重大政策和重大项目。滚动调整、动态更新相关项目储备库。建立健全“项目跟着规划走、要素跟着项目走”机制</w:t>
      </w:r>
      <w:r>
        <w:rPr>
          <w:szCs w:val="32"/>
        </w:rPr>
        <w:t>。</w:t>
      </w:r>
    </w:p>
    <w:p>
      <w:pPr>
        <w:spacing w:line="600" w:lineRule="exact"/>
        <w:ind w:firstLine="632" w:firstLineChars="200"/>
        <w:outlineLvl w:val="1"/>
        <w:rPr>
          <w:rFonts w:ascii="楷体_GB2312" w:hAnsi="楷体_GB2312" w:eastAsia="楷体_GB2312" w:cs="楷体_GB2312"/>
          <w:szCs w:val="32"/>
        </w:rPr>
      </w:pPr>
      <w:r>
        <w:rPr>
          <w:rFonts w:ascii="楷体_GB2312" w:hAnsi="楷体_GB2312" w:eastAsia="楷体_GB2312" w:cs="楷体_GB2312"/>
          <w:szCs w:val="32"/>
        </w:rPr>
        <w:t>（五）加强人才建设</w:t>
      </w:r>
      <w:r>
        <w:rPr>
          <w:rFonts w:hint="eastAsia" w:ascii="楷体_GB2312" w:hAnsi="楷体_GB2312" w:eastAsia="楷体_GB2312" w:cs="楷体_GB2312"/>
          <w:szCs w:val="32"/>
        </w:rPr>
        <w:t>。</w:t>
      </w:r>
    </w:p>
    <w:p>
      <w:pPr>
        <w:spacing w:line="600" w:lineRule="exact"/>
        <w:ind w:firstLine="632" w:firstLineChars="200"/>
        <w:rPr>
          <w:rFonts w:ascii="仿宋_GB2312"/>
          <w:szCs w:val="32"/>
        </w:rPr>
      </w:pPr>
      <w:r>
        <w:rPr>
          <w:szCs w:val="32"/>
        </w:rPr>
        <w:t>积极发挥</w:t>
      </w:r>
      <w:r>
        <w:rPr>
          <w:rFonts w:hint="eastAsia"/>
          <w:szCs w:val="32"/>
        </w:rPr>
        <w:t>《</w:t>
      </w:r>
      <w:r>
        <w:rPr>
          <w:szCs w:val="32"/>
        </w:rPr>
        <w:t>台州人才新政2.0</w:t>
      </w:r>
      <w:r>
        <w:rPr>
          <w:rFonts w:hint="eastAsia"/>
          <w:szCs w:val="32"/>
        </w:rPr>
        <w:t>》</w:t>
      </w:r>
      <w:r>
        <w:rPr>
          <w:szCs w:val="32"/>
        </w:rPr>
        <w:t>和</w:t>
      </w:r>
      <w:r>
        <w:rPr>
          <w:rFonts w:hint="eastAsia"/>
          <w:szCs w:val="32"/>
        </w:rPr>
        <w:t>《台州</w:t>
      </w:r>
      <w:r>
        <w:rPr>
          <w:szCs w:val="32"/>
        </w:rPr>
        <w:t>社会事业人才发展三十条</w:t>
      </w:r>
      <w:r>
        <w:rPr>
          <w:rFonts w:hint="eastAsia"/>
          <w:szCs w:val="32"/>
        </w:rPr>
        <w:t>》</w:t>
      </w:r>
      <w:r>
        <w:rPr>
          <w:szCs w:val="32"/>
        </w:rPr>
        <w:t>的作用，加大公共服务领域高层次人才引进</w:t>
      </w:r>
      <w:r>
        <w:rPr>
          <w:rFonts w:hint="eastAsia"/>
          <w:szCs w:val="32"/>
        </w:rPr>
        <w:t>力度</w:t>
      </w:r>
      <w:r>
        <w:rPr>
          <w:szCs w:val="32"/>
        </w:rPr>
        <w:t>。支持本地高校和中等职业学校加大对公共服务领域人才培养。</w:t>
      </w:r>
      <w:r>
        <w:rPr>
          <w:kern w:val="0"/>
          <w:szCs w:val="32"/>
        </w:rPr>
        <w:t>健全公共服务从业人员教育培训制度，</w:t>
      </w:r>
      <w:r>
        <w:rPr>
          <w:szCs w:val="32"/>
        </w:rPr>
        <w:t>强化订单、定岗、定向培训。建立公共服务人才合理流动机制。健全激励机制，完善工资薪酬待遇、职称评聘、社会保障等激励政策。</w:t>
      </w:r>
      <w:r>
        <w:rPr>
          <w:kern w:val="0"/>
          <w:szCs w:val="32"/>
        </w:rPr>
        <w:t>加强公共服务组织体系建设</w:t>
      </w:r>
      <w:r>
        <w:rPr>
          <w:rFonts w:hint="eastAsia"/>
          <w:kern w:val="0"/>
          <w:szCs w:val="32"/>
        </w:rPr>
        <w:t>，发展公益性社会组织，提升公共服务组织化、社会化水平。</w:t>
      </w:r>
    </w:p>
    <w:p>
      <w:pPr>
        <w:spacing w:line="600" w:lineRule="exact"/>
        <w:ind w:firstLine="632" w:firstLineChars="200"/>
        <w:rPr>
          <w:rFonts w:ascii="仿宋_GB2312"/>
          <w:szCs w:val="32"/>
        </w:rPr>
      </w:pPr>
    </w:p>
    <w:p>
      <w:pPr>
        <w:spacing w:line="600" w:lineRule="exact"/>
        <w:ind w:firstLine="632" w:firstLineChars="200"/>
        <w:rPr>
          <w:rFonts w:ascii="仿宋_GB2312"/>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316" w:leftChars="100" w:right="316" w:rightChars="100"/>
        <w:jc w:val="left"/>
        <w:rPr>
          <w:sz w:val="28"/>
          <w:szCs w:val="28"/>
        </w:rPr>
      </w:pPr>
      <w:r>
        <w:rPr>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53340</wp:posOffset>
                </wp:positionV>
                <wp:extent cx="5618480" cy="0"/>
                <wp:effectExtent l="0" t="9525" r="1270" b="9525"/>
                <wp:wrapNone/>
                <wp:docPr id="4" name="直线 41"/>
                <wp:cNvGraphicFramePr/>
                <a:graphic xmlns:a="http://schemas.openxmlformats.org/drawingml/2006/main">
                  <a:graphicData uri="http://schemas.microsoft.com/office/word/2010/wordprocessingShape">
                    <wps:wsp>
                      <wps:cNvSpPr/>
                      <wps:spPr>
                        <a:xfrm>
                          <a:off x="0" y="0"/>
                          <a:ext cx="561848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41" o:spid="_x0000_s1026" o:spt="20" style="position:absolute;left:0pt;margin-left:0pt;margin-top:4.2pt;height:0pt;width:442.4pt;z-index:251662336;mso-width-relative:page;mso-height-relative:page;" filled="f" stroked="t" coordsize="21600,21600" o:gfxdata="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">
                <v:fill on="f" focussize="0,0"/>
                <v:stroke weight="1.5pt" color="#000000" joinstyle="round"/>
                <v:imagedata o:title=""/>
                <o:lock v:ext="edit" aspectratio="f"/>
              </v:line>
            </w:pict>
          </mc:Fallback>
        </mc:AlternateContent>
      </w:r>
      <w:r>
        <w:rPr>
          <w:rFonts w:hint="eastAsia"/>
          <w:sz w:val="28"/>
          <w:szCs w:val="28"/>
        </w:rPr>
        <w:t>抄送：市委各部门，市人大常委会、市政协办公室，军分区，市监委，</w:t>
      </w:r>
    </w:p>
    <w:p>
      <w:pPr>
        <w:ind w:left="1140" w:leftChars="361"/>
        <w:jc w:val="left"/>
        <w:rPr>
          <w:sz w:val="28"/>
          <w:szCs w:val="28"/>
        </w:rPr>
      </w:pPr>
      <w:r>
        <w:rPr>
          <w:rFonts w:hint="eastAsia"/>
          <w:sz w:val="28"/>
          <w:szCs w:val="28"/>
        </w:rPr>
        <w:t>市法院，市检察院。</w:t>
      </w:r>
    </w:p>
    <w:p>
      <w:pPr>
        <w:ind w:left="316" w:leftChars="100" w:right="316" w:rightChars="100"/>
        <w:jc w:val="left"/>
      </w:pPr>
      <w:r>
        <w:drawing>
          <wp:anchor distT="0" distB="0" distL="114300" distR="114300" simplePos="0" relativeHeight="251663360" behindDoc="0" locked="0" layoutInCell="1" allowOverlap="1">
            <wp:simplePos x="0" y="0"/>
            <wp:positionH relativeFrom="column">
              <wp:posOffset>3724275</wp:posOffset>
            </wp:positionH>
            <wp:positionV relativeFrom="paragraph">
              <wp:posOffset>485775</wp:posOffset>
            </wp:positionV>
            <wp:extent cx="1790700" cy="533400"/>
            <wp:effectExtent l="0" t="0" r="0" b="0"/>
            <wp:wrapNone/>
            <wp:docPr id="5"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2"/>
                    <pic:cNvPicPr>
                      <a:picLocks noChangeAspect="1"/>
                    </pic:cNvPicPr>
                  </pic:nvPicPr>
                  <pic:blipFill>
                    <a:blip r:embed="rId6"/>
                    <a:stretch>
                      <a:fillRect/>
                    </a:stretch>
                  </pic:blipFill>
                  <pic:spPr>
                    <a:xfrm>
                      <a:off x="0" y="0"/>
                      <a:ext cx="1790700" cy="533400"/>
                    </a:xfrm>
                    <a:prstGeom prst="rect">
                      <a:avLst/>
                    </a:prstGeom>
                    <a:noFill/>
                    <a:ln>
                      <a:noFill/>
                    </a:ln>
                  </pic:spPr>
                </pic:pic>
              </a:graphicData>
            </a:graphic>
          </wp:anchor>
        </w:drawing>
      </w:r>
      <w:r>
        <w:rPr>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18480" cy="0"/>
                <wp:effectExtent l="0" t="0" r="0" b="0"/>
                <wp:wrapNone/>
                <wp:docPr id="3" name="直线 40"/>
                <wp:cNvGraphicFramePr/>
                <a:graphic xmlns:a="http://schemas.openxmlformats.org/drawingml/2006/main">
                  <a:graphicData uri="http://schemas.microsoft.com/office/word/2010/wordprocessingShape">
                    <wps:wsp>
                      <wps:cNvSp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 o:spid="_x0000_s1026" o:spt="20" style="position:absolute;left:0pt;margin-left:0pt;margin-top:0pt;height:0pt;width:442.4pt;z-index:251661312;mso-width-relative:page;mso-height-relative:page;" filled="f" stroked="t" coordsize="21600,21600" o:gfxdata="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379730</wp:posOffset>
                </wp:positionV>
                <wp:extent cx="5618480" cy="0"/>
                <wp:effectExtent l="0" t="9525" r="1270" b="9525"/>
                <wp:wrapNone/>
                <wp:docPr id="2" name="直线 39"/>
                <wp:cNvGraphicFramePr/>
                <a:graphic xmlns:a="http://schemas.openxmlformats.org/drawingml/2006/main">
                  <a:graphicData uri="http://schemas.microsoft.com/office/word/2010/wordprocessingShape">
                    <wps:wsp>
                      <wps:cNvSpPr/>
                      <wps:spPr>
                        <a:xfrm>
                          <a:off x="0" y="0"/>
                          <a:ext cx="561848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9" o:spid="_x0000_s1026" o:spt="20" style="position:absolute;left:0pt;margin-left:0pt;margin-top:29.9pt;height:0pt;width:442.4pt;z-index:251660288;mso-width-relative:page;mso-height-relative:page;" filled="f" stroked="t" coordsize="21600,21600" o:gfxdata="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">
                <v:fill on="f" focussize="0,0"/>
                <v:stroke weight="1.5pt" color="#000000" joinstyle="round"/>
                <v:imagedata o:title=""/>
                <o:lock v:ext="edit" aspectratio="f"/>
              </v:line>
            </w:pict>
          </mc:Fallback>
        </mc:AlternateContent>
      </w:r>
      <w:r>
        <w:rPr>
          <w:rFonts w:hint="eastAsia"/>
          <w:sz w:val="28"/>
          <w:szCs w:val="28"/>
        </w:rPr>
        <w:t xml:space="preserve">台州市人民政府办公室                    </w:t>
      </w:r>
      <w:r>
        <w:rPr>
          <w:sz w:val="28"/>
          <w:szCs w:val="28"/>
        </w:rPr>
        <w:t>20</w:t>
      </w:r>
      <w:r>
        <w:rPr>
          <w:rFonts w:hint="eastAsia"/>
          <w:sz w:val="28"/>
          <w:szCs w:val="28"/>
        </w:rPr>
        <w:t>21年12月10日印发</w:t>
      </w:r>
    </w:p>
    <w:sectPr>
      <w:pgSz w:w="11907" w:h="16840"/>
      <w:pgMar w:top="1871" w:right="1474" w:bottom="1758" w:left="1588" w:header="851" w:footer="1134" w:gutter="0"/>
      <w:cols w:space="720" w:num="1"/>
      <w:docGrid w:type="linesAndChars" w:linePitch="60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Verdana">
    <w:altName w:val="DejaVu Sans"/>
    <w:panose1 w:val="020B0604030504040204"/>
    <w:charset w:val="00"/>
    <w:family w:val="swiss"/>
    <w:pitch w:val="default"/>
    <w:sig w:usb0="00000000" w:usb1="00000000"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8"/>
      </w:rPr>
    </w:pPr>
    <w:r>
      <w:rPr>
        <w:rFonts w:hint="eastAsia" w:ascii="仿宋_GB2312"/>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39</w:t>
    </w:r>
    <w:r>
      <w:rPr>
        <w:kern w:val="0"/>
        <w:sz w:val="28"/>
      </w:rPr>
      <w:fldChar w:fldCharType="end"/>
    </w:r>
    <w:r>
      <w:rPr>
        <w:rFonts w:hint="eastAsia" w:ascii="仿宋_GB2312"/>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rPr>
        <w:sz w:val="28"/>
      </w:rPr>
    </w:pPr>
    <w:r>
      <w:rPr>
        <w:rFonts w:hint="eastAsia" w:ascii="仿宋_GB2312"/>
        <w:kern w:val="0"/>
        <w:sz w:val="28"/>
      </w:rPr>
      <w:t>—</w:t>
    </w:r>
    <w:r>
      <w:rPr>
        <w:kern w:val="0"/>
        <w:sz w:val="28"/>
      </w:rPr>
      <w:fldChar w:fldCharType="begin"/>
    </w:r>
    <w:r>
      <w:rPr>
        <w:kern w:val="0"/>
        <w:sz w:val="28"/>
      </w:rPr>
      <w:instrText xml:space="preserve"> PAGE </w:instrText>
    </w:r>
    <w:r>
      <w:rPr>
        <w:kern w:val="0"/>
        <w:sz w:val="28"/>
      </w:rPr>
      <w:fldChar w:fldCharType="separate"/>
    </w:r>
    <w:r>
      <w:rPr>
        <w:kern w:val="0"/>
        <w:sz w:val="28"/>
      </w:rPr>
      <w:t>38</w:t>
    </w:r>
    <w:r>
      <w:rPr>
        <w:kern w:val="0"/>
        <w:sz w:val="28"/>
      </w:rPr>
      <w:fldChar w:fldCharType="end"/>
    </w:r>
    <w:r>
      <w:rPr>
        <w:rFonts w:hint="eastAsia" w:ascii="仿宋_GB2312"/>
        <w:kern w:val="0"/>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NotTrackMoves/>
  <w:documentProtection w:enforcement="0"/>
  <w:defaultTabStop w:val="420"/>
  <w:evenAndOddHeaders w:val="1"/>
  <w:drawingGridHorizontalSpacing w:val="158"/>
  <w:drawingGridVerticalSpacing w:val="29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72.26.24.106/api/officeService/Servlet?x-auth-token=5d9f4a21-f35e-4f04-a9df-47fec8dac6e1"/>
  </w:docVars>
  <w:rsids>
    <w:rsidRoot w:val="00DD78B4"/>
    <w:rsid w:val="00022CBC"/>
    <w:rsid w:val="000240FF"/>
    <w:rsid w:val="00031EF5"/>
    <w:rsid w:val="0003313F"/>
    <w:rsid w:val="0004243B"/>
    <w:rsid w:val="00051A9F"/>
    <w:rsid w:val="0005568A"/>
    <w:rsid w:val="00064212"/>
    <w:rsid w:val="00067219"/>
    <w:rsid w:val="00067CEC"/>
    <w:rsid w:val="00076AF9"/>
    <w:rsid w:val="0008003A"/>
    <w:rsid w:val="00081622"/>
    <w:rsid w:val="00082B3E"/>
    <w:rsid w:val="00084984"/>
    <w:rsid w:val="00091757"/>
    <w:rsid w:val="000A2EA6"/>
    <w:rsid w:val="000B03D8"/>
    <w:rsid w:val="000B2886"/>
    <w:rsid w:val="000C10BB"/>
    <w:rsid w:val="000C6ED9"/>
    <w:rsid w:val="000D05B3"/>
    <w:rsid w:val="000D1DFF"/>
    <w:rsid w:val="000E2A82"/>
    <w:rsid w:val="000F49F5"/>
    <w:rsid w:val="000F4AE4"/>
    <w:rsid w:val="000F4E12"/>
    <w:rsid w:val="00130069"/>
    <w:rsid w:val="00133F96"/>
    <w:rsid w:val="0014362F"/>
    <w:rsid w:val="00145B9C"/>
    <w:rsid w:val="001533BD"/>
    <w:rsid w:val="00155587"/>
    <w:rsid w:val="00162909"/>
    <w:rsid w:val="001A594C"/>
    <w:rsid w:val="001B0BFF"/>
    <w:rsid w:val="001B4C94"/>
    <w:rsid w:val="001B7A02"/>
    <w:rsid w:val="001C0DFB"/>
    <w:rsid w:val="001C4E11"/>
    <w:rsid w:val="001C6A87"/>
    <w:rsid w:val="001D6A9F"/>
    <w:rsid w:val="001D6D44"/>
    <w:rsid w:val="001E53C0"/>
    <w:rsid w:val="001E5B8A"/>
    <w:rsid w:val="001F4E48"/>
    <w:rsid w:val="001F5438"/>
    <w:rsid w:val="001F74BA"/>
    <w:rsid w:val="0021240E"/>
    <w:rsid w:val="00220F77"/>
    <w:rsid w:val="00223A86"/>
    <w:rsid w:val="002244C3"/>
    <w:rsid w:val="002469CF"/>
    <w:rsid w:val="0024751E"/>
    <w:rsid w:val="00250113"/>
    <w:rsid w:val="00251B1E"/>
    <w:rsid w:val="002869F8"/>
    <w:rsid w:val="00295EB9"/>
    <w:rsid w:val="002A0958"/>
    <w:rsid w:val="002A0D57"/>
    <w:rsid w:val="002B6722"/>
    <w:rsid w:val="002C6D31"/>
    <w:rsid w:val="002D5F85"/>
    <w:rsid w:val="002E48F0"/>
    <w:rsid w:val="002F216B"/>
    <w:rsid w:val="002F73F7"/>
    <w:rsid w:val="00302034"/>
    <w:rsid w:val="00315B0D"/>
    <w:rsid w:val="00316AC3"/>
    <w:rsid w:val="003474F8"/>
    <w:rsid w:val="0035629F"/>
    <w:rsid w:val="00364045"/>
    <w:rsid w:val="00365D39"/>
    <w:rsid w:val="00367A42"/>
    <w:rsid w:val="00373EA2"/>
    <w:rsid w:val="00377DA6"/>
    <w:rsid w:val="00383970"/>
    <w:rsid w:val="00396357"/>
    <w:rsid w:val="003974ED"/>
    <w:rsid w:val="003A3706"/>
    <w:rsid w:val="003D164C"/>
    <w:rsid w:val="003D3ADC"/>
    <w:rsid w:val="003E1F5E"/>
    <w:rsid w:val="003F4C47"/>
    <w:rsid w:val="003F75EA"/>
    <w:rsid w:val="004033D3"/>
    <w:rsid w:val="004134B2"/>
    <w:rsid w:val="004405B3"/>
    <w:rsid w:val="00457DFC"/>
    <w:rsid w:val="0046408C"/>
    <w:rsid w:val="00474CD3"/>
    <w:rsid w:val="0047510A"/>
    <w:rsid w:val="0048657E"/>
    <w:rsid w:val="004A1D56"/>
    <w:rsid w:val="004B72BB"/>
    <w:rsid w:val="004C05F8"/>
    <w:rsid w:val="004F32D9"/>
    <w:rsid w:val="004F7A5E"/>
    <w:rsid w:val="00504ABF"/>
    <w:rsid w:val="00514CE6"/>
    <w:rsid w:val="00515F85"/>
    <w:rsid w:val="00516350"/>
    <w:rsid w:val="00516786"/>
    <w:rsid w:val="0052511F"/>
    <w:rsid w:val="00531DD2"/>
    <w:rsid w:val="00535575"/>
    <w:rsid w:val="00536194"/>
    <w:rsid w:val="0055327B"/>
    <w:rsid w:val="00556452"/>
    <w:rsid w:val="005601CD"/>
    <w:rsid w:val="00572092"/>
    <w:rsid w:val="00572AFD"/>
    <w:rsid w:val="0057491B"/>
    <w:rsid w:val="00574FD3"/>
    <w:rsid w:val="005A0CED"/>
    <w:rsid w:val="005A1F84"/>
    <w:rsid w:val="005A2565"/>
    <w:rsid w:val="005B10A9"/>
    <w:rsid w:val="005B2243"/>
    <w:rsid w:val="005F2F36"/>
    <w:rsid w:val="005F63EB"/>
    <w:rsid w:val="00611CDF"/>
    <w:rsid w:val="00635884"/>
    <w:rsid w:val="006369D2"/>
    <w:rsid w:val="006606D7"/>
    <w:rsid w:val="00665C90"/>
    <w:rsid w:val="00681646"/>
    <w:rsid w:val="006903D2"/>
    <w:rsid w:val="00695EAC"/>
    <w:rsid w:val="006A1AEA"/>
    <w:rsid w:val="006A75D5"/>
    <w:rsid w:val="006B165D"/>
    <w:rsid w:val="006C1379"/>
    <w:rsid w:val="006C2836"/>
    <w:rsid w:val="006C7263"/>
    <w:rsid w:val="006D131B"/>
    <w:rsid w:val="006E14C7"/>
    <w:rsid w:val="006E39D0"/>
    <w:rsid w:val="0071279A"/>
    <w:rsid w:val="0071672D"/>
    <w:rsid w:val="00736D19"/>
    <w:rsid w:val="00744861"/>
    <w:rsid w:val="007456CE"/>
    <w:rsid w:val="00746149"/>
    <w:rsid w:val="00764ACD"/>
    <w:rsid w:val="00772FEC"/>
    <w:rsid w:val="0077711F"/>
    <w:rsid w:val="00781C32"/>
    <w:rsid w:val="0078350A"/>
    <w:rsid w:val="00792792"/>
    <w:rsid w:val="007A75E1"/>
    <w:rsid w:val="007C4436"/>
    <w:rsid w:val="007D33C7"/>
    <w:rsid w:val="007D3683"/>
    <w:rsid w:val="007E0D48"/>
    <w:rsid w:val="007F3150"/>
    <w:rsid w:val="007F3864"/>
    <w:rsid w:val="00812BBD"/>
    <w:rsid w:val="00815458"/>
    <w:rsid w:val="008176FA"/>
    <w:rsid w:val="00823E9F"/>
    <w:rsid w:val="00840544"/>
    <w:rsid w:val="008514EB"/>
    <w:rsid w:val="00851A72"/>
    <w:rsid w:val="00863562"/>
    <w:rsid w:val="00864DDD"/>
    <w:rsid w:val="008760C6"/>
    <w:rsid w:val="00885DE2"/>
    <w:rsid w:val="008A0D31"/>
    <w:rsid w:val="008A138E"/>
    <w:rsid w:val="008B5976"/>
    <w:rsid w:val="008C1C6C"/>
    <w:rsid w:val="008C584E"/>
    <w:rsid w:val="008C6037"/>
    <w:rsid w:val="008D1128"/>
    <w:rsid w:val="008D3491"/>
    <w:rsid w:val="008D5BF2"/>
    <w:rsid w:val="008D6FEF"/>
    <w:rsid w:val="008D7B21"/>
    <w:rsid w:val="008E246C"/>
    <w:rsid w:val="008E67DE"/>
    <w:rsid w:val="008F059D"/>
    <w:rsid w:val="008F738F"/>
    <w:rsid w:val="008F75AC"/>
    <w:rsid w:val="00901EA9"/>
    <w:rsid w:val="00902C5A"/>
    <w:rsid w:val="009373FA"/>
    <w:rsid w:val="0094340E"/>
    <w:rsid w:val="009439FC"/>
    <w:rsid w:val="009472D6"/>
    <w:rsid w:val="009535DB"/>
    <w:rsid w:val="00961C47"/>
    <w:rsid w:val="00962CB4"/>
    <w:rsid w:val="00963622"/>
    <w:rsid w:val="00970DA2"/>
    <w:rsid w:val="0097296E"/>
    <w:rsid w:val="0097607B"/>
    <w:rsid w:val="009D6606"/>
    <w:rsid w:val="009E1B7F"/>
    <w:rsid w:val="009E3641"/>
    <w:rsid w:val="009E70A5"/>
    <w:rsid w:val="009F2393"/>
    <w:rsid w:val="00A03E12"/>
    <w:rsid w:val="00A15B7C"/>
    <w:rsid w:val="00A17999"/>
    <w:rsid w:val="00A34EFB"/>
    <w:rsid w:val="00A57BED"/>
    <w:rsid w:val="00A61942"/>
    <w:rsid w:val="00A63B03"/>
    <w:rsid w:val="00A81294"/>
    <w:rsid w:val="00A87323"/>
    <w:rsid w:val="00AB2C41"/>
    <w:rsid w:val="00AB5026"/>
    <w:rsid w:val="00AB64DD"/>
    <w:rsid w:val="00AC22BF"/>
    <w:rsid w:val="00AE2CB8"/>
    <w:rsid w:val="00B03523"/>
    <w:rsid w:val="00B125DA"/>
    <w:rsid w:val="00B1545D"/>
    <w:rsid w:val="00B20555"/>
    <w:rsid w:val="00B21BC6"/>
    <w:rsid w:val="00B270A7"/>
    <w:rsid w:val="00B332B2"/>
    <w:rsid w:val="00B3383F"/>
    <w:rsid w:val="00B43804"/>
    <w:rsid w:val="00B61B7A"/>
    <w:rsid w:val="00B62DF4"/>
    <w:rsid w:val="00B661C5"/>
    <w:rsid w:val="00B74CD2"/>
    <w:rsid w:val="00B766B9"/>
    <w:rsid w:val="00B8139F"/>
    <w:rsid w:val="00B95113"/>
    <w:rsid w:val="00BA6C24"/>
    <w:rsid w:val="00BA7459"/>
    <w:rsid w:val="00BB30D1"/>
    <w:rsid w:val="00BC4DF9"/>
    <w:rsid w:val="00BD6C4B"/>
    <w:rsid w:val="00BF0069"/>
    <w:rsid w:val="00BF00D6"/>
    <w:rsid w:val="00C0494B"/>
    <w:rsid w:val="00C101E7"/>
    <w:rsid w:val="00C11D5E"/>
    <w:rsid w:val="00C26F1A"/>
    <w:rsid w:val="00C36CD1"/>
    <w:rsid w:val="00C44943"/>
    <w:rsid w:val="00C57315"/>
    <w:rsid w:val="00C7524A"/>
    <w:rsid w:val="00C75587"/>
    <w:rsid w:val="00C76886"/>
    <w:rsid w:val="00C771B0"/>
    <w:rsid w:val="00CB1A47"/>
    <w:rsid w:val="00CD11F1"/>
    <w:rsid w:val="00CD66E0"/>
    <w:rsid w:val="00CE6452"/>
    <w:rsid w:val="00CF5918"/>
    <w:rsid w:val="00D05ED3"/>
    <w:rsid w:val="00D24EA8"/>
    <w:rsid w:val="00D44D44"/>
    <w:rsid w:val="00D47CBF"/>
    <w:rsid w:val="00D52DD0"/>
    <w:rsid w:val="00D64CB4"/>
    <w:rsid w:val="00D67264"/>
    <w:rsid w:val="00D71AA8"/>
    <w:rsid w:val="00D75456"/>
    <w:rsid w:val="00D75E00"/>
    <w:rsid w:val="00D81F11"/>
    <w:rsid w:val="00D90667"/>
    <w:rsid w:val="00D93956"/>
    <w:rsid w:val="00DA0616"/>
    <w:rsid w:val="00DA5D10"/>
    <w:rsid w:val="00DA697D"/>
    <w:rsid w:val="00DC6255"/>
    <w:rsid w:val="00DC725F"/>
    <w:rsid w:val="00DD78B4"/>
    <w:rsid w:val="00DE711B"/>
    <w:rsid w:val="00DF34B1"/>
    <w:rsid w:val="00DF5E56"/>
    <w:rsid w:val="00E03A98"/>
    <w:rsid w:val="00E05081"/>
    <w:rsid w:val="00E075DF"/>
    <w:rsid w:val="00E17D05"/>
    <w:rsid w:val="00E2168F"/>
    <w:rsid w:val="00E2331A"/>
    <w:rsid w:val="00E331DB"/>
    <w:rsid w:val="00E46CAD"/>
    <w:rsid w:val="00E52E1A"/>
    <w:rsid w:val="00E53C0F"/>
    <w:rsid w:val="00E542ED"/>
    <w:rsid w:val="00E674BD"/>
    <w:rsid w:val="00E817C7"/>
    <w:rsid w:val="00E96365"/>
    <w:rsid w:val="00EC6597"/>
    <w:rsid w:val="00ED756E"/>
    <w:rsid w:val="00F02C5F"/>
    <w:rsid w:val="00F03798"/>
    <w:rsid w:val="00F0546C"/>
    <w:rsid w:val="00F054FB"/>
    <w:rsid w:val="00F1299E"/>
    <w:rsid w:val="00F12C27"/>
    <w:rsid w:val="00F27B84"/>
    <w:rsid w:val="00F64793"/>
    <w:rsid w:val="00F764C6"/>
    <w:rsid w:val="00F7726E"/>
    <w:rsid w:val="00F86173"/>
    <w:rsid w:val="00F92A80"/>
    <w:rsid w:val="00FA209D"/>
    <w:rsid w:val="00FA3781"/>
    <w:rsid w:val="00FB6672"/>
    <w:rsid w:val="00FB690D"/>
    <w:rsid w:val="00FC0AAF"/>
    <w:rsid w:val="00FC66DC"/>
    <w:rsid w:val="00FE1572"/>
    <w:rsid w:val="00FE7325"/>
    <w:rsid w:val="02823586"/>
    <w:rsid w:val="0FAF65C1"/>
    <w:rsid w:val="140D46CC"/>
    <w:rsid w:val="1BB2209D"/>
    <w:rsid w:val="2A010231"/>
    <w:rsid w:val="34A363B0"/>
    <w:rsid w:val="359E0AA4"/>
    <w:rsid w:val="48741BB9"/>
    <w:rsid w:val="5EDDE3D7"/>
    <w:rsid w:val="5F9131DF"/>
    <w:rsid w:val="74A61B26"/>
    <w:rsid w:val="EBFB1A38"/>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qFormat/>
    <w:uiPriority w:val="0"/>
    <w:pPr>
      <w:keepNext/>
      <w:keepLines/>
      <w:spacing w:before="260" w:after="260" w:line="416" w:lineRule="auto"/>
      <w:outlineLvl w:val="2"/>
    </w:pPr>
    <w:rPr>
      <w:rFonts w:eastAsia="宋体"/>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line="0" w:lineRule="atLeast"/>
      <w:jc w:val="center"/>
    </w:pPr>
    <w:rPr>
      <w:rFonts w:eastAsia="方正小标宋简体"/>
      <w:sz w:val="44"/>
      <w:szCs w:val="20"/>
    </w:rPr>
  </w:style>
  <w:style w:type="paragraph" w:styleId="4">
    <w:name w:val="Body Text Indent"/>
    <w:basedOn w:val="1"/>
    <w:qFormat/>
    <w:uiPriority w:val="0"/>
    <w:pPr>
      <w:ind w:firstLine="615"/>
    </w:pPr>
    <w:rPr>
      <w:szCs w:val="20"/>
    </w:rPr>
  </w:style>
  <w:style w:type="paragraph" w:styleId="5">
    <w:name w:val="Date"/>
    <w:basedOn w:val="1"/>
    <w:next w:val="1"/>
    <w:qFormat/>
    <w:uiPriority w:val="0"/>
    <w:pPr>
      <w:ind w:left="100" w:leftChars="2500"/>
    </w:pPr>
  </w:style>
  <w:style w:type="paragraph" w:styleId="6">
    <w:name w:val="Body Text Indent 2"/>
    <w:basedOn w:val="1"/>
    <w:qFormat/>
    <w:uiPriority w:val="0"/>
    <w:pPr>
      <w:ind w:firstLine="608" w:firstLineChars="200"/>
    </w:pPr>
    <w:rPr>
      <w:rFonts w:ascii="仿宋_GB2312"/>
      <w:spacing w:val="-6"/>
    </w:rPr>
  </w:style>
  <w:style w:type="paragraph" w:styleId="7">
    <w:name w:val="Balloon Text"/>
    <w:basedOn w:val="1"/>
    <w:link w:val="18"/>
    <w:semiHidden/>
    <w:qFormat/>
    <w:uiPriority w:val="0"/>
    <w:rPr>
      <w:sz w:val="18"/>
      <w:szCs w:val="18"/>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line="598" w:lineRule="exact"/>
      <w:ind w:firstLine="616" w:firstLineChars="200"/>
    </w:pPr>
    <w:rPr>
      <w:spacing w:val="-4"/>
    </w:rPr>
  </w:style>
  <w:style w:type="paragraph" w:styleId="11">
    <w:name w:val="Normal (Web)"/>
    <w:basedOn w:val="1"/>
    <w:qFormat/>
    <w:uiPriority w:val="0"/>
    <w:pPr>
      <w:widowControl/>
      <w:spacing w:before="100" w:beforeAutospacing="1" w:after="100" w:afterAutospacing="1"/>
      <w:jc w:val="left"/>
    </w:pPr>
    <w:rPr>
      <w:rFonts w:ascii="宋体" w:hAnsi="宋体" w:eastAsia="宋体"/>
      <w:color w:val="000000"/>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customStyle="1" w:styleId="16">
    <w:name w:val="页眉 Char"/>
    <w:link w:val="9"/>
    <w:qFormat/>
    <w:uiPriority w:val="0"/>
    <w:rPr>
      <w:rFonts w:eastAsia="仿宋_GB2312"/>
      <w:kern w:val="2"/>
      <w:sz w:val="18"/>
      <w:szCs w:val="18"/>
      <w:lang w:val="en-US" w:eastAsia="zh-CN" w:bidi="ar-SA"/>
    </w:rPr>
  </w:style>
  <w:style w:type="character" w:customStyle="1" w:styleId="17">
    <w:name w:val="页脚 Char"/>
    <w:link w:val="8"/>
    <w:qFormat/>
    <w:uiPriority w:val="0"/>
    <w:rPr>
      <w:rFonts w:eastAsia="仿宋_GB2312"/>
      <w:kern w:val="2"/>
      <w:sz w:val="18"/>
      <w:szCs w:val="18"/>
      <w:lang w:val="en-US" w:eastAsia="zh-CN" w:bidi="ar-SA"/>
    </w:rPr>
  </w:style>
  <w:style w:type="character" w:customStyle="1" w:styleId="18">
    <w:name w:val="批注框文本 Char"/>
    <w:link w:val="7"/>
    <w:qFormat/>
    <w:uiPriority w:val="0"/>
    <w:rPr>
      <w:rFonts w:eastAsia="仿宋_GB2312"/>
      <w:kern w:val="2"/>
      <w:sz w:val="18"/>
      <w:szCs w:val="18"/>
      <w:lang w:val="en-US" w:eastAsia="zh-CN" w:bidi="ar-SA"/>
    </w:rPr>
  </w:style>
  <w:style w:type="paragraph" w:customStyle="1" w:styleId="19">
    <w:name w:val="Char1"/>
    <w:basedOn w:val="1"/>
    <w:qFormat/>
    <w:uiPriority w:val="0"/>
    <w:rPr>
      <w:rFonts w:ascii="仿宋_GB2312"/>
      <w:b/>
      <w:szCs w:val="32"/>
    </w:rPr>
  </w:style>
  <w:style w:type="paragraph" w:customStyle="1" w:styleId="2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kern w:val="0"/>
      <w:sz w:val="24"/>
      <w:szCs w:val="32"/>
      <w:lang w:eastAsia="en-US"/>
    </w:rPr>
  </w:style>
  <w:style w:type="paragraph" w:customStyle="1" w:styleId="21">
    <w:name w:val="Char1 Char Char Char"/>
    <w:basedOn w:val="1"/>
    <w:qFormat/>
    <w:uiPriority w:val="0"/>
    <w:pPr>
      <w:snapToGrid w:val="0"/>
      <w:spacing w:line="300" w:lineRule="auto"/>
    </w:pPr>
    <w:rPr>
      <w:rFonts w:eastAsia="宋体"/>
      <w:sz w:val="21"/>
      <w:szCs w:val="20"/>
    </w:rPr>
  </w:style>
  <w:style w:type="paragraph" w:customStyle="1" w:styleId="22">
    <w:name w:val="Char"/>
    <w:basedOn w:val="1"/>
    <w:qFormat/>
    <w:uiPriority w:val="0"/>
    <w:pPr>
      <w:tabs>
        <w:tab w:val="left" w:pos="432"/>
      </w:tabs>
      <w:spacing w:beforeLines="50" w:afterLines="50"/>
      <w:ind w:left="432" w:hanging="432"/>
    </w:pPr>
    <w:rPr>
      <w:rFonts w:eastAsia="宋体"/>
      <w:sz w:val="21"/>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39</Pages>
  <Words>22510</Words>
  <Characters>1844</Characters>
  <Lines>15</Lines>
  <Paragraphs>48</Paragraphs>
  <TotalTime>13</TotalTime>
  <ScaleCrop>false</ScaleCrop>
  <LinksUpToDate>false</LinksUpToDate>
  <CharactersWithSpaces>24306</CharactersWithSpaces>
  <Application>WPS Office_11.8.2.1115_F1E327BC-269C-435d-A152-05C5408002CA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2021-12-14T18:16:00Z</dcterms:created>
  <dc:creator>wwwfox</dc:creator>
  <cp:lastModifiedBy>tzfx</cp:lastModifiedBy>
  <cp:lastPrinted>2013-12-25T00:58:00Z</cp:lastPrinted>
  <dcterms:modified xsi:type="dcterms:W3CDTF">2022-11-18T10:51:51Z</dcterms:modified>
  <dc:title>台政办发〔2004〕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2052-11.8.2.1115</vt:lpwstr>
  </property>
  <property fmtid="{D5CDD505-2E9C-101B-9397-08002B2CF9AE}" pid="3" name="ICV">
    <vt:lpwstr>96F0DBC52E3BC4B147F37663F877F9A1</vt:lpwstr>
  </property>
</Properties>
</file>