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16" w:firstLineChars="100"/>
        <w:jc w:val="right"/>
        <w:rPr>
          <w:rFonts w:hint="eastAsia"/>
        </w:rPr>
      </w:pPr>
      <w:bookmarkStart w:id="0" w:name="_GoBack"/>
      <w:bookmarkEnd w:id="0"/>
      <w:r>
        <w:rPr>
          <w:rFonts w:hint="eastAsia"/>
        </w:rPr>
        <w:t>ZJJC01</w:t>
      </w:r>
      <w:r>
        <w:rPr>
          <w:rFonts w:hint="eastAsia" w:ascii="仿宋_GB2312" w:hAnsi="仿宋_GB2312" w:eastAsia="仿宋_GB2312" w:cs="仿宋_GB2312"/>
        </w:rPr>
        <w:t>-</w:t>
      </w:r>
      <w:r>
        <w:rPr>
          <w:rFonts w:hint="eastAsia"/>
        </w:rPr>
        <w:t>2021</w:t>
      </w:r>
      <w:r>
        <w:rPr>
          <w:rFonts w:hint="eastAsia" w:ascii="仿宋_GB2312" w:hAnsi="仿宋_GB2312" w:eastAsia="仿宋_GB2312" w:cs="仿宋_GB2312"/>
        </w:rPr>
        <w:t>-</w:t>
      </w:r>
      <w:r>
        <w:rPr>
          <w:rFonts w:hint="eastAsia"/>
        </w:rPr>
        <w:t>0029</w:t>
      </w:r>
    </w:p>
    <w:p>
      <w:pPr>
        <w:spacing w:line="610" w:lineRule="exact"/>
        <w:ind w:firstLine="316" w:firstLineChars="100"/>
        <w:rPr>
          <w:rFonts w:hint="eastAsia"/>
        </w:rPr>
      </w:pPr>
    </w:p>
    <w:p>
      <w:pPr>
        <w:spacing w:line="610" w:lineRule="exact"/>
        <w:ind w:firstLine="316" w:firstLineChars="100"/>
        <w:rPr>
          <w:rFonts w:hint="eastAsia"/>
        </w:rPr>
      </w:pPr>
    </w:p>
    <w:p>
      <w:pPr>
        <w:jc w:val="center"/>
        <w:rPr>
          <w:rFonts w:hint="eastAsia" w:ascii="方正小标宋简体" w:eastAsia="方正小标宋简体"/>
          <w:color w:val="FF0000"/>
          <w:sz w:val="84"/>
        </w:rPr>
      </w:pPr>
      <w:r>
        <w:rPr>
          <w:rFonts w:hint="eastAsia" w:ascii="方正小标宋简体" w:eastAsia="方正小标宋简体"/>
          <w:color w:val="FF0000"/>
          <w:spacing w:val="10"/>
          <w:w w:val="75"/>
          <w:sz w:val="90"/>
        </w:rPr>
        <w:t>台州市人民政府办公室文</w:t>
      </w:r>
      <w:r>
        <w:rPr>
          <w:rFonts w:hint="eastAsia" w:ascii="方正小标宋简体" w:eastAsia="方正小标宋简体"/>
          <w:color w:val="FF0000"/>
          <w:w w:val="75"/>
          <w:sz w:val="90"/>
        </w:rPr>
        <w:t>件</w:t>
      </w:r>
    </w:p>
    <w:p>
      <w:pPr>
        <w:spacing w:after="120" w:afterLines="20"/>
        <w:rPr>
          <w:rFonts w:hint="eastAsia"/>
        </w:rPr>
      </w:pPr>
    </w:p>
    <w:p>
      <w:pPr>
        <w:tabs>
          <w:tab w:val="left" w:pos="2528"/>
          <w:tab w:val="left" w:pos="2844"/>
          <w:tab w:val="left" w:pos="7584"/>
          <w:tab w:val="left" w:pos="8374"/>
          <w:tab w:val="left" w:pos="8532"/>
        </w:tabs>
        <w:jc w:val="center"/>
      </w:pPr>
      <w:r>
        <w:rPr>
          <w:rFonts w:hint="eastAsia"/>
        </w:rPr>
        <w:t>台政办发〔</w:t>
      </w:r>
      <w:r>
        <w:t>20</w:t>
      </w:r>
      <w:r>
        <w:rPr>
          <w:rFonts w:hint="eastAsia"/>
        </w:rPr>
        <w:t>21〕</w:t>
      </w:r>
      <w:r>
        <w:rPr>
          <w:rFonts w:hint="eastAsia"/>
          <w:lang w:val="en-US" w:eastAsia="zh-CN"/>
        </w:rPr>
        <w:t>58</w:t>
      </w:r>
      <w:r>
        <w:rPr>
          <w:rFonts w:hint="eastAsia"/>
        </w:rPr>
        <w:t>号</w:t>
      </w:r>
    </w:p>
    <w:p>
      <w:pPr>
        <w:spacing w:line="600" w:lineRule="exact"/>
        <w:rPr>
          <w:rFonts w:hint="eastAsia"/>
        </w:rPr>
      </w:pPr>
      <w:r>
        <w:rPr>
          <w:sz w:val="20"/>
        </w:rPr>
        <w:pict>
          <v:line id="_x0000_s1030" o:spid="_x0000_s1030" o:spt="20" style="position:absolute;left:0pt;margin-left:0pt;margin-top:2.15pt;height:0pt;width:445.05pt;z-index:251659264;mso-width-relative:page;mso-height-relative:page;" filled="f" stroked="t" coordsize="21600,21600">
            <v:path arrowok="t"/>
            <v:fill on="f" focussize="0,0"/>
            <v:stroke weight="2.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before="303" w:beforeLines="50"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台州市人民政府办公室关于</w:t>
      </w:r>
      <w:r>
        <w:rPr>
          <w:rFonts w:hint="eastAsia" w:ascii="方正小标宋简体" w:eastAsia="方正小标宋简体"/>
          <w:sz w:val="44"/>
          <w:szCs w:val="44"/>
        </w:rPr>
        <w:t>台州市区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公共租赁住房租赁补贴</w:t>
      </w:r>
      <w:r>
        <w:rPr>
          <w:rFonts w:hint="eastAsia" w:ascii="方正小标宋简体" w:eastAsia="方正小标宋简体"/>
          <w:sz w:val="44"/>
          <w:szCs w:val="44"/>
          <w:lang w:eastAsia="zh-CN"/>
        </w:rPr>
        <w:t>的</w:t>
      </w:r>
      <w:r>
        <w:rPr>
          <w:rFonts w:hint="eastAsia" w:ascii="方正小标宋简体" w:eastAsia="方正小标宋简体"/>
          <w:sz w:val="44"/>
          <w:szCs w:val="44"/>
        </w:rPr>
        <w:t>实施意见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楷体_GB2312" w:eastAsia="楷体_GB2312"/>
        </w:rPr>
      </w:pPr>
      <w:r>
        <w:rPr>
          <w:rFonts w:hint="eastAsia" w:ascii="仿宋_GB2312"/>
          <w:szCs w:val="32"/>
          <w:lang w:eastAsia="zh-CN"/>
        </w:rPr>
        <w:t>各县（市、区）人民政府，市政府直属各单位：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szCs w:val="32"/>
        </w:rPr>
      </w:pPr>
      <w:r>
        <w:rPr>
          <w:szCs w:val="32"/>
        </w:rPr>
        <w:t>为进一步做好公共租赁住房（以下简称公租房）租赁补贴工作，完善城镇住房保障体系，根据《国务院办公厅关于加快培育和发展住房租赁市场的若干意见》（国办发〔2016〕39号）</w:t>
      </w:r>
      <w:r>
        <w:rPr>
          <w:rFonts w:hint="eastAsia"/>
          <w:szCs w:val="32"/>
          <w:lang w:eastAsia="zh-CN"/>
        </w:rPr>
        <w:t>和</w:t>
      </w:r>
      <w:r>
        <w:rPr>
          <w:szCs w:val="32"/>
        </w:rPr>
        <w:t>《住房城乡建设部财政部关于做好城镇住房保障家庭租赁补贴工作的指导意见》（建保〔2016〕281号）等有关规定，结合台州市区实际，</w:t>
      </w:r>
      <w:r>
        <w:rPr>
          <w:rFonts w:hint="eastAsia"/>
          <w:szCs w:val="32"/>
          <w:lang w:eastAsia="zh-CN"/>
        </w:rPr>
        <w:t>经市政府同意，</w:t>
      </w:r>
      <w:r>
        <w:rPr>
          <w:szCs w:val="32"/>
        </w:rPr>
        <w:t>提出如下实施意见：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黑体"/>
          <w:szCs w:val="32"/>
        </w:rPr>
      </w:pPr>
      <w:r>
        <w:rPr>
          <w:rFonts w:eastAsia="黑体"/>
          <w:szCs w:val="32"/>
        </w:rPr>
        <w:t>一、适用范围</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rPr>
          <w:spacing w:val="-6"/>
          <w:sz w:val="32"/>
          <w:szCs w:val="32"/>
        </w:rPr>
      </w:pPr>
      <w:r>
        <w:rPr>
          <w:spacing w:val="-6"/>
          <w:sz w:val="32"/>
          <w:szCs w:val="32"/>
        </w:rPr>
        <w:t>本意见适用于台州市区范围内公租房租赁补贴的实施和管理。</w:t>
      </w:r>
    </w:p>
    <w:p>
      <w:pPr>
        <w:spacing w:line="600" w:lineRule="exact"/>
        <w:ind w:firstLine="632" w:firstLineChars="200"/>
        <w:rPr>
          <w:rFonts w:eastAsia="黑体"/>
          <w:szCs w:val="32"/>
        </w:rPr>
      </w:pPr>
      <w:r>
        <w:rPr>
          <w:rFonts w:eastAsia="黑体"/>
          <w:szCs w:val="32"/>
        </w:rPr>
        <w:t>二、保障对象及准入条件</w:t>
      </w:r>
    </w:p>
    <w:p>
      <w:pPr>
        <w:spacing w:line="600" w:lineRule="exact"/>
        <w:ind w:firstLine="632" w:firstLineChars="200"/>
        <w:rPr>
          <w:szCs w:val="32"/>
        </w:rPr>
      </w:pPr>
      <w:r>
        <w:rPr>
          <w:szCs w:val="32"/>
        </w:rPr>
        <w:t>本意见的保障对象包括城镇低收入住房困难家庭、城镇中等偏下收入住房困难家庭、新就业无房职工等3类。</w:t>
      </w:r>
    </w:p>
    <w:p>
      <w:pPr>
        <w:spacing w:line="600" w:lineRule="exact"/>
        <w:ind w:firstLine="632" w:firstLineChars="200"/>
        <w:rPr>
          <w:rFonts w:eastAsia="楷体_GB2312"/>
          <w:szCs w:val="32"/>
        </w:rPr>
      </w:pPr>
      <w:r>
        <w:rPr>
          <w:rFonts w:eastAsia="楷体_GB2312"/>
          <w:szCs w:val="32"/>
        </w:rPr>
        <w:t>（一）城镇低收入住房困难家庭应当同时具备下列条件：</w:t>
      </w:r>
    </w:p>
    <w:p>
      <w:pPr>
        <w:spacing w:line="600" w:lineRule="exact"/>
        <w:ind w:firstLine="632" w:firstLineChars="200"/>
        <w:rPr>
          <w:szCs w:val="32"/>
        </w:rPr>
      </w:pPr>
      <w:r>
        <w:rPr>
          <w:szCs w:val="32"/>
        </w:rPr>
        <w:t>1</w:t>
      </w:r>
      <w:r>
        <w:rPr>
          <w:rFonts w:hint="eastAsia"/>
          <w:szCs w:val="32"/>
        </w:rPr>
        <w:t xml:space="preserve">. </w:t>
      </w:r>
      <w:r>
        <w:rPr>
          <w:szCs w:val="32"/>
        </w:rPr>
        <w:t>主申请人具有台州市区城镇户籍；</w:t>
      </w:r>
    </w:p>
    <w:p>
      <w:pPr>
        <w:spacing w:line="600" w:lineRule="exact"/>
        <w:ind w:firstLine="632" w:firstLineChars="200"/>
        <w:rPr>
          <w:szCs w:val="32"/>
        </w:rPr>
      </w:pPr>
      <w:r>
        <w:rPr>
          <w:szCs w:val="32"/>
        </w:rPr>
        <w:t>2</w:t>
      </w:r>
      <w:r>
        <w:rPr>
          <w:rFonts w:hint="eastAsia"/>
          <w:szCs w:val="32"/>
        </w:rPr>
        <w:t xml:space="preserve">. </w:t>
      </w:r>
      <w:r>
        <w:rPr>
          <w:szCs w:val="32"/>
        </w:rPr>
        <w:t>家庭年人均可支配收入低于上一年度台州市区城镇常住居民人均可支配收入的60%；</w:t>
      </w:r>
    </w:p>
    <w:p>
      <w:pPr>
        <w:spacing w:line="600" w:lineRule="exact"/>
        <w:ind w:firstLine="632" w:firstLineChars="200"/>
        <w:rPr>
          <w:szCs w:val="32"/>
        </w:rPr>
      </w:pPr>
      <w:r>
        <w:rPr>
          <w:szCs w:val="32"/>
        </w:rPr>
        <w:t>3</w:t>
      </w:r>
      <w:r>
        <w:rPr>
          <w:rFonts w:hint="eastAsia"/>
          <w:szCs w:val="32"/>
        </w:rPr>
        <w:t xml:space="preserve">. </w:t>
      </w:r>
      <w:r>
        <w:rPr>
          <w:szCs w:val="32"/>
        </w:rPr>
        <w:t>在台州市区范围内，家庭人均住房建筑面积18平方米以下，或者家庭住房建筑面积36平方米以下；</w:t>
      </w:r>
    </w:p>
    <w:p>
      <w:pPr>
        <w:spacing w:line="600" w:lineRule="exact"/>
        <w:ind w:firstLine="632" w:firstLineChars="200"/>
        <w:rPr>
          <w:szCs w:val="32"/>
        </w:rPr>
      </w:pPr>
      <w:r>
        <w:rPr>
          <w:szCs w:val="32"/>
        </w:rPr>
        <w:t>4</w:t>
      </w:r>
      <w:r>
        <w:rPr>
          <w:rFonts w:hint="eastAsia"/>
          <w:szCs w:val="32"/>
        </w:rPr>
        <w:t xml:space="preserve">. </w:t>
      </w:r>
      <w:r>
        <w:rPr>
          <w:szCs w:val="32"/>
        </w:rPr>
        <w:t>其他财产额度限制：</w:t>
      </w:r>
    </w:p>
    <w:p>
      <w:pPr>
        <w:spacing w:line="600" w:lineRule="exact"/>
        <w:ind w:firstLine="632" w:firstLineChars="200"/>
        <w:rPr>
          <w:szCs w:val="32"/>
        </w:rPr>
      </w:pPr>
      <w:r>
        <w:rPr>
          <w:szCs w:val="32"/>
        </w:rPr>
        <w:t>（1）家庭人均货币财产，低于当地人均公租房保障面积乘以当地上一年度商品房均价的总额；</w:t>
      </w:r>
    </w:p>
    <w:p>
      <w:pPr>
        <w:spacing w:line="600" w:lineRule="exact"/>
        <w:ind w:firstLine="632" w:firstLineChars="200"/>
        <w:rPr>
          <w:szCs w:val="32"/>
        </w:rPr>
      </w:pPr>
      <w:r>
        <w:rPr>
          <w:szCs w:val="32"/>
        </w:rPr>
        <w:t>（2）家庭成员在各类企业投资累计不超过20万元；</w:t>
      </w:r>
    </w:p>
    <w:p>
      <w:pPr>
        <w:spacing w:line="600" w:lineRule="exact"/>
        <w:ind w:firstLine="632" w:firstLineChars="200"/>
        <w:rPr>
          <w:szCs w:val="32"/>
        </w:rPr>
      </w:pPr>
      <w:r>
        <w:rPr>
          <w:szCs w:val="32"/>
        </w:rPr>
        <w:t>（3）家庭成员名下无非营运机动车辆。</w:t>
      </w:r>
    </w:p>
    <w:p>
      <w:pPr>
        <w:spacing w:line="600" w:lineRule="exact"/>
        <w:ind w:firstLine="608" w:firstLineChars="200"/>
        <w:rPr>
          <w:rFonts w:eastAsia="楷体_GB2312"/>
          <w:spacing w:val="-6"/>
          <w:sz w:val="32"/>
          <w:szCs w:val="32"/>
        </w:rPr>
      </w:pPr>
      <w:r>
        <w:rPr>
          <w:rFonts w:eastAsia="楷体_GB2312"/>
          <w:spacing w:val="-6"/>
          <w:sz w:val="32"/>
          <w:szCs w:val="32"/>
        </w:rPr>
        <w:t>（二）城镇中等偏下收入住房困难家庭应当同时具备下列条件：</w:t>
      </w:r>
    </w:p>
    <w:p>
      <w:pPr>
        <w:spacing w:line="600" w:lineRule="exact"/>
        <w:ind w:firstLine="632" w:firstLineChars="200"/>
        <w:rPr>
          <w:szCs w:val="32"/>
        </w:rPr>
      </w:pPr>
      <w:r>
        <w:rPr>
          <w:szCs w:val="32"/>
        </w:rPr>
        <w:t>1</w:t>
      </w:r>
      <w:r>
        <w:rPr>
          <w:rFonts w:hint="eastAsia"/>
          <w:szCs w:val="32"/>
        </w:rPr>
        <w:t xml:space="preserve">. </w:t>
      </w:r>
      <w:r>
        <w:rPr>
          <w:szCs w:val="32"/>
        </w:rPr>
        <w:t>主申请人具有台州市区城镇户籍；</w:t>
      </w:r>
    </w:p>
    <w:p>
      <w:pPr>
        <w:spacing w:line="600" w:lineRule="exact"/>
        <w:ind w:firstLine="632" w:firstLineChars="200"/>
        <w:rPr>
          <w:szCs w:val="32"/>
        </w:rPr>
      </w:pPr>
      <w:r>
        <w:rPr>
          <w:szCs w:val="32"/>
        </w:rPr>
        <w:t>2</w:t>
      </w:r>
      <w:r>
        <w:rPr>
          <w:rFonts w:hint="eastAsia"/>
          <w:szCs w:val="32"/>
        </w:rPr>
        <w:t xml:space="preserve">. </w:t>
      </w:r>
      <w:r>
        <w:rPr>
          <w:szCs w:val="32"/>
        </w:rPr>
        <w:t>家庭年人均可支配收入低于上一年度台州市区城镇常住居民人均可支配收入；</w:t>
      </w:r>
    </w:p>
    <w:p>
      <w:pPr>
        <w:spacing w:line="600" w:lineRule="exact"/>
        <w:ind w:firstLine="632" w:firstLineChars="200"/>
        <w:rPr>
          <w:szCs w:val="32"/>
        </w:rPr>
      </w:pPr>
      <w:r>
        <w:rPr>
          <w:szCs w:val="32"/>
        </w:rPr>
        <w:t>3</w:t>
      </w:r>
      <w:r>
        <w:rPr>
          <w:rFonts w:hint="eastAsia"/>
          <w:szCs w:val="32"/>
        </w:rPr>
        <w:t xml:space="preserve">. </w:t>
      </w:r>
      <w:r>
        <w:rPr>
          <w:szCs w:val="32"/>
        </w:rPr>
        <w:t>在台州市区范围内，家庭人均住房建筑面积18平方米以下，或者家庭住房建筑面积36平方米以下；</w:t>
      </w:r>
    </w:p>
    <w:p>
      <w:pPr>
        <w:spacing w:line="600" w:lineRule="exact"/>
        <w:ind w:firstLine="632" w:firstLineChars="200"/>
        <w:rPr>
          <w:szCs w:val="32"/>
        </w:rPr>
      </w:pPr>
      <w:r>
        <w:rPr>
          <w:szCs w:val="32"/>
        </w:rPr>
        <w:t>4</w:t>
      </w:r>
      <w:r>
        <w:rPr>
          <w:rFonts w:hint="eastAsia"/>
          <w:szCs w:val="32"/>
        </w:rPr>
        <w:t xml:space="preserve">. </w:t>
      </w:r>
      <w:r>
        <w:rPr>
          <w:szCs w:val="32"/>
        </w:rPr>
        <w:t>其他财产额度限制：</w:t>
      </w:r>
    </w:p>
    <w:p>
      <w:pPr>
        <w:spacing w:line="600" w:lineRule="exact"/>
        <w:ind w:firstLine="632" w:firstLineChars="200"/>
        <w:rPr>
          <w:szCs w:val="32"/>
        </w:rPr>
      </w:pPr>
      <w:r>
        <w:rPr>
          <w:szCs w:val="32"/>
        </w:rPr>
        <w:t>（1）家庭人均货币财产，低于当地人均公租房保障面积乘以当地上一年度商品房均价的总额；</w:t>
      </w:r>
    </w:p>
    <w:p>
      <w:pPr>
        <w:spacing w:line="600" w:lineRule="exact"/>
        <w:ind w:firstLine="632" w:firstLineChars="200"/>
        <w:rPr>
          <w:szCs w:val="32"/>
        </w:rPr>
      </w:pPr>
      <w:r>
        <w:rPr>
          <w:szCs w:val="32"/>
        </w:rPr>
        <w:t>（2）家庭成员在各类企业投资累计不超过30万元；</w:t>
      </w:r>
    </w:p>
    <w:p>
      <w:pPr>
        <w:spacing w:line="600" w:lineRule="exact"/>
        <w:ind w:firstLine="632" w:firstLineChars="200"/>
        <w:rPr>
          <w:szCs w:val="32"/>
        </w:rPr>
      </w:pPr>
      <w:r>
        <w:rPr>
          <w:szCs w:val="32"/>
        </w:rPr>
        <w:t>（3）家庭成员名下</w:t>
      </w:r>
      <w:r>
        <w:rPr>
          <w:rFonts w:hint="eastAsia"/>
          <w:szCs w:val="32"/>
          <w:lang w:eastAsia="zh-CN"/>
        </w:rPr>
        <w:t>至多</w:t>
      </w:r>
      <w:r>
        <w:rPr>
          <w:szCs w:val="32"/>
        </w:rPr>
        <w:t>有1辆非营运机动车辆且车辆购置价格低于当地同期10</w:t>
      </w:r>
      <w:r>
        <w:rPr>
          <w:rFonts w:hint="eastAsia" w:ascii="仿宋_GB2312" w:hAnsi="仿宋_GB2312" w:eastAsia="仿宋_GB2312" w:cs="仿宋_GB2312"/>
          <w:sz w:val="32"/>
          <w:szCs w:val="32"/>
          <w:lang w:val="en-US" w:eastAsia="zh-CN"/>
        </w:rPr>
        <w:t>—</w:t>
      </w:r>
      <w:r>
        <w:rPr>
          <w:szCs w:val="32"/>
        </w:rPr>
        <w:t>15倍年最低生活保障标准。</w:t>
      </w:r>
    </w:p>
    <w:p>
      <w:pPr>
        <w:spacing w:line="600" w:lineRule="exact"/>
        <w:ind w:firstLine="632" w:firstLineChars="200"/>
        <w:rPr>
          <w:rFonts w:eastAsia="楷体_GB2312"/>
          <w:szCs w:val="32"/>
        </w:rPr>
      </w:pPr>
      <w:r>
        <w:rPr>
          <w:rFonts w:eastAsia="楷体_GB2312"/>
          <w:szCs w:val="32"/>
        </w:rPr>
        <w:t>（三）新就业无房职工应当同时具备下列条件：</w:t>
      </w:r>
    </w:p>
    <w:p>
      <w:pPr>
        <w:spacing w:line="600" w:lineRule="exact"/>
        <w:ind w:firstLine="632" w:firstLineChars="200"/>
        <w:rPr>
          <w:szCs w:val="32"/>
        </w:rPr>
      </w:pPr>
      <w:r>
        <w:rPr>
          <w:szCs w:val="32"/>
        </w:rPr>
        <w:t>1</w:t>
      </w:r>
      <w:r>
        <w:rPr>
          <w:rFonts w:hint="eastAsia"/>
          <w:szCs w:val="32"/>
        </w:rPr>
        <w:t xml:space="preserve">. </w:t>
      </w:r>
      <w:r>
        <w:rPr>
          <w:szCs w:val="32"/>
        </w:rPr>
        <w:t>主申请人具有台州市区城镇户籍，或者持有台州市区公安机关签发的有效期内的《浙江省居住证》；</w:t>
      </w:r>
    </w:p>
    <w:p>
      <w:pPr>
        <w:spacing w:line="600" w:lineRule="exact"/>
        <w:ind w:firstLine="632" w:firstLineChars="200"/>
        <w:rPr>
          <w:szCs w:val="32"/>
        </w:rPr>
      </w:pPr>
      <w:r>
        <w:rPr>
          <w:szCs w:val="32"/>
        </w:rPr>
        <w:t>2</w:t>
      </w:r>
      <w:r>
        <w:rPr>
          <w:rFonts w:hint="eastAsia"/>
          <w:szCs w:val="32"/>
        </w:rPr>
        <w:t xml:space="preserve">. </w:t>
      </w:r>
      <w:r>
        <w:rPr>
          <w:szCs w:val="32"/>
        </w:rPr>
        <w:t>申请人年人均可支配收入低于上一年度台州市区城镇常住居民人均可支配收入；</w:t>
      </w:r>
    </w:p>
    <w:p>
      <w:pPr>
        <w:spacing w:line="600" w:lineRule="exact"/>
        <w:ind w:firstLine="632" w:firstLineChars="200"/>
        <w:rPr>
          <w:szCs w:val="32"/>
        </w:rPr>
      </w:pPr>
      <w:r>
        <w:rPr>
          <w:szCs w:val="32"/>
        </w:rPr>
        <w:t>3</w:t>
      </w:r>
      <w:r>
        <w:rPr>
          <w:rFonts w:hint="eastAsia"/>
          <w:szCs w:val="32"/>
        </w:rPr>
        <w:t xml:space="preserve">. </w:t>
      </w:r>
      <w:r>
        <w:rPr>
          <w:szCs w:val="32"/>
        </w:rPr>
        <w:t>申请人在台州市区范围内无住房；</w:t>
      </w:r>
    </w:p>
    <w:p>
      <w:pPr>
        <w:spacing w:line="600" w:lineRule="exact"/>
        <w:ind w:firstLine="632" w:firstLineChars="200"/>
        <w:rPr>
          <w:szCs w:val="32"/>
        </w:rPr>
      </w:pPr>
      <w:r>
        <w:rPr>
          <w:szCs w:val="32"/>
        </w:rPr>
        <w:t>4</w:t>
      </w:r>
      <w:r>
        <w:rPr>
          <w:rFonts w:hint="eastAsia"/>
          <w:szCs w:val="32"/>
        </w:rPr>
        <w:t xml:space="preserve">. </w:t>
      </w:r>
      <w:r>
        <w:rPr>
          <w:szCs w:val="32"/>
        </w:rPr>
        <w:t>主申请人</w:t>
      </w:r>
      <w:r>
        <w:rPr>
          <w:rFonts w:hint="eastAsia"/>
          <w:szCs w:val="32"/>
          <w:lang w:eastAsia="zh-CN"/>
        </w:rPr>
        <w:t>在台州市区范围内的用人单位工作，</w:t>
      </w:r>
      <w:r>
        <w:rPr>
          <w:szCs w:val="32"/>
        </w:rPr>
        <w:t>已与用人单位签订1年以上劳动（聘用）合同，且在台州市区已连续缴纳社会保险费或者住房公积金6个月以上；</w:t>
      </w:r>
    </w:p>
    <w:p>
      <w:pPr>
        <w:spacing w:line="600" w:lineRule="exact"/>
        <w:ind w:firstLine="632" w:firstLineChars="200"/>
        <w:rPr>
          <w:szCs w:val="32"/>
        </w:rPr>
      </w:pPr>
      <w:r>
        <w:rPr>
          <w:szCs w:val="32"/>
        </w:rPr>
        <w:t>5</w:t>
      </w:r>
      <w:r>
        <w:rPr>
          <w:rFonts w:hint="eastAsia"/>
          <w:szCs w:val="32"/>
        </w:rPr>
        <w:t xml:space="preserve">. </w:t>
      </w:r>
      <w:r>
        <w:rPr>
          <w:szCs w:val="32"/>
        </w:rPr>
        <w:t>主申请人取得全日制最高学历毕业证书最长不超过7年；</w:t>
      </w:r>
    </w:p>
    <w:p>
      <w:pPr>
        <w:spacing w:line="600" w:lineRule="exact"/>
        <w:ind w:firstLine="632" w:firstLineChars="200"/>
        <w:rPr>
          <w:szCs w:val="32"/>
        </w:rPr>
      </w:pPr>
      <w:r>
        <w:rPr>
          <w:szCs w:val="32"/>
        </w:rPr>
        <w:t>6</w:t>
      </w:r>
      <w:r>
        <w:rPr>
          <w:rFonts w:hint="eastAsia"/>
          <w:szCs w:val="32"/>
        </w:rPr>
        <w:t xml:space="preserve">. </w:t>
      </w:r>
      <w:r>
        <w:rPr>
          <w:szCs w:val="32"/>
        </w:rPr>
        <w:t>其他财产额度限制：</w:t>
      </w:r>
    </w:p>
    <w:p>
      <w:pPr>
        <w:spacing w:line="600" w:lineRule="exact"/>
        <w:ind w:firstLine="632" w:firstLineChars="200"/>
        <w:jc w:val="both"/>
        <w:rPr>
          <w:szCs w:val="32"/>
        </w:rPr>
      </w:pPr>
      <w:r>
        <w:rPr>
          <w:szCs w:val="32"/>
        </w:rPr>
        <w:t>（</w:t>
      </w:r>
      <w:r>
        <w:rPr>
          <w:rFonts w:hint="default"/>
          <w:szCs w:val="32"/>
          <w:lang w:val="en"/>
        </w:rPr>
        <w:t>1</w:t>
      </w:r>
      <w:r>
        <w:rPr>
          <w:szCs w:val="32"/>
        </w:rPr>
        <w:t>）家庭人均货币财产，低于当地人均公租房保障面积乘以当地上一年度商品房均价的总额；</w:t>
      </w:r>
    </w:p>
    <w:p>
      <w:pPr>
        <w:spacing w:line="600" w:lineRule="exact"/>
        <w:ind w:firstLine="632" w:firstLineChars="200"/>
        <w:jc w:val="both"/>
        <w:rPr>
          <w:szCs w:val="32"/>
        </w:rPr>
      </w:pPr>
      <w:r>
        <w:rPr>
          <w:szCs w:val="32"/>
        </w:rPr>
        <w:t>（2）申请人在各类企业投资累计不超过30万元；</w:t>
      </w:r>
    </w:p>
    <w:p>
      <w:pPr>
        <w:spacing w:line="600" w:lineRule="exact"/>
        <w:ind w:firstLine="632" w:firstLineChars="200"/>
        <w:jc w:val="both"/>
        <w:rPr>
          <w:szCs w:val="32"/>
        </w:rPr>
      </w:pPr>
      <w:r>
        <w:rPr>
          <w:szCs w:val="32"/>
        </w:rPr>
        <w:t>（3）申请人名下</w:t>
      </w:r>
      <w:r>
        <w:rPr>
          <w:rFonts w:hint="eastAsia"/>
          <w:szCs w:val="32"/>
          <w:lang w:eastAsia="zh-CN"/>
        </w:rPr>
        <w:t>至多</w:t>
      </w:r>
      <w:r>
        <w:rPr>
          <w:szCs w:val="32"/>
        </w:rPr>
        <w:t>有1辆非营运机动车辆且车辆购置价格低于当地同期10</w:t>
      </w:r>
      <w:r>
        <w:rPr>
          <w:rFonts w:hint="eastAsia" w:ascii="仿宋_GB2312" w:hAnsi="仿宋_GB2312" w:eastAsia="仿宋_GB2312" w:cs="仿宋_GB2312"/>
          <w:szCs w:val="32"/>
        </w:rPr>
        <w:t>—</w:t>
      </w:r>
      <w:r>
        <w:rPr>
          <w:szCs w:val="32"/>
        </w:rPr>
        <w:t>15倍年最低生活保障标准。</w:t>
      </w:r>
    </w:p>
    <w:p>
      <w:pPr>
        <w:spacing w:line="600" w:lineRule="exact"/>
        <w:ind w:firstLine="632" w:firstLineChars="200"/>
        <w:rPr>
          <w:szCs w:val="32"/>
        </w:rPr>
      </w:pPr>
      <w:r>
        <w:rPr>
          <w:szCs w:val="32"/>
        </w:rPr>
        <w:t>上述3类保障对象的准入条件认定时应当把握下列要求：</w:t>
      </w:r>
    </w:p>
    <w:p>
      <w:pPr>
        <w:spacing w:line="600" w:lineRule="exact"/>
        <w:ind w:firstLine="632" w:firstLineChars="200"/>
        <w:rPr>
          <w:szCs w:val="32"/>
        </w:rPr>
      </w:pPr>
      <w:r>
        <w:rPr>
          <w:szCs w:val="32"/>
        </w:rPr>
        <w:t>1</w:t>
      </w:r>
      <w:r>
        <w:rPr>
          <w:rFonts w:hint="eastAsia"/>
          <w:szCs w:val="32"/>
        </w:rPr>
        <w:t xml:space="preserve">. </w:t>
      </w:r>
      <w:r>
        <w:rPr>
          <w:szCs w:val="32"/>
        </w:rPr>
        <w:t>申请人包含主申请人和共同申请人，其中主申请人应当具备完全民事行为能力；</w:t>
      </w:r>
    </w:p>
    <w:p>
      <w:pPr>
        <w:spacing w:line="600" w:lineRule="exact"/>
        <w:ind w:firstLine="632" w:firstLineChars="200"/>
        <w:rPr>
          <w:szCs w:val="32"/>
        </w:rPr>
      </w:pPr>
      <w:r>
        <w:rPr>
          <w:szCs w:val="32"/>
        </w:rPr>
        <w:t>2</w:t>
      </w:r>
      <w:r>
        <w:rPr>
          <w:rFonts w:hint="eastAsia"/>
          <w:szCs w:val="32"/>
        </w:rPr>
        <w:t xml:space="preserve">. </w:t>
      </w:r>
      <w:r>
        <w:rPr>
          <w:szCs w:val="32"/>
        </w:rPr>
        <w:t>台州市区城镇户籍，不含就学期间户口迁入台州市区的学生户籍；</w:t>
      </w:r>
    </w:p>
    <w:p>
      <w:pPr>
        <w:spacing w:line="600" w:lineRule="exact"/>
        <w:ind w:firstLine="632" w:firstLineChars="200"/>
        <w:rPr>
          <w:szCs w:val="32"/>
        </w:rPr>
      </w:pPr>
      <w:r>
        <w:rPr>
          <w:szCs w:val="32"/>
        </w:rPr>
        <w:t>3</w:t>
      </w:r>
      <w:r>
        <w:rPr>
          <w:rFonts w:hint="eastAsia"/>
          <w:szCs w:val="32"/>
        </w:rPr>
        <w:t xml:space="preserve">. </w:t>
      </w:r>
      <w:r>
        <w:rPr>
          <w:szCs w:val="32"/>
        </w:rPr>
        <w:t>年人均可支配收入，计算时间为申请当月的前12个月，不含申请当月；</w:t>
      </w:r>
    </w:p>
    <w:p>
      <w:pPr>
        <w:spacing w:line="600" w:lineRule="exact"/>
        <w:ind w:firstLine="632" w:firstLineChars="200"/>
        <w:rPr>
          <w:szCs w:val="32"/>
        </w:rPr>
      </w:pPr>
      <w:r>
        <w:rPr>
          <w:szCs w:val="32"/>
        </w:rPr>
        <w:t>4</w:t>
      </w:r>
      <w:r>
        <w:rPr>
          <w:rFonts w:hint="eastAsia"/>
          <w:szCs w:val="32"/>
        </w:rPr>
        <w:t xml:space="preserve">. </w:t>
      </w:r>
      <w:r>
        <w:rPr>
          <w:szCs w:val="32"/>
        </w:rPr>
        <w:t>住房及其建筑面积的认定，包含申请之日的前5年转让、析产、赠与、拍卖、没收的住房及其建筑面积；</w:t>
      </w:r>
    </w:p>
    <w:p>
      <w:pPr>
        <w:spacing w:line="600" w:lineRule="exact"/>
        <w:ind w:firstLine="632" w:firstLineChars="200"/>
        <w:rPr>
          <w:szCs w:val="32"/>
        </w:rPr>
      </w:pPr>
      <w:r>
        <w:rPr>
          <w:szCs w:val="32"/>
        </w:rPr>
        <w:t>5</w:t>
      </w:r>
      <w:r>
        <w:rPr>
          <w:rFonts w:hint="eastAsia"/>
          <w:szCs w:val="32"/>
        </w:rPr>
        <w:t xml:space="preserve">. </w:t>
      </w:r>
      <w:r>
        <w:rPr>
          <w:szCs w:val="32"/>
        </w:rPr>
        <w:t>各类企业投资，包含出资认缴额；</w:t>
      </w:r>
    </w:p>
    <w:p>
      <w:pPr>
        <w:spacing w:line="600" w:lineRule="exact"/>
        <w:ind w:firstLine="632" w:firstLineChars="200"/>
        <w:rPr>
          <w:szCs w:val="32"/>
        </w:rPr>
      </w:pPr>
      <w:r>
        <w:rPr>
          <w:szCs w:val="32"/>
        </w:rPr>
        <w:t>6</w:t>
      </w:r>
      <w:r>
        <w:rPr>
          <w:rFonts w:hint="eastAsia"/>
          <w:szCs w:val="32"/>
        </w:rPr>
        <w:t xml:space="preserve">. </w:t>
      </w:r>
      <w:r>
        <w:rPr>
          <w:szCs w:val="32"/>
        </w:rPr>
        <w:t>机动车辆，不含普通二轮摩托车和残疾人用于功能性补偿代步的机动车辆；</w:t>
      </w:r>
    </w:p>
    <w:p>
      <w:pPr>
        <w:spacing w:line="600" w:lineRule="exact"/>
        <w:ind w:firstLine="632" w:firstLineChars="200"/>
        <w:rPr>
          <w:szCs w:val="32"/>
        </w:rPr>
      </w:pPr>
      <w:r>
        <w:rPr>
          <w:szCs w:val="32"/>
        </w:rPr>
        <w:t>7</w:t>
      </w:r>
      <w:r>
        <w:rPr>
          <w:rFonts w:hint="eastAsia"/>
          <w:szCs w:val="32"/>
        </w:rPr>
        <w:t xml:space="preserve">. </w:t>
      </w:r>
      <w:r>
        <w:rPr>
          <w:szCs w:val="32"/>
        </w:rPr>
        <w:t>车辆购置价格，不含税费。</w:t>
      </w:r>
    </w:p>
    <w:p>
      <w:pPr>
        <w:spacing w:line="600" w:lineRule="exact"/>
        <w:ind w:firstLine="632" w:firstLineChars="200"/>
        <w:rPr>
          <w:szCs w:val="32"/>
        </w:rPr>
      </w:pPr>
      <w:r>
        <w:rPr>
          <w:szCs w:val="32"/>
        </w:rPr>
        <w:t>保障对象、准入条件的调整实行动态管理，定期向社会公布。</w:t>
      </w:r>
    </w:p>
    <w:p>
      <w:pPr>
        <w:spacing w:line="600" w:lineRule="exact"/>
        <w:ind w:firstLine="632" w:firstLineChars="200"/>
        <w:rPr>
          <w:rFonts w:eastAsia="黑体"/>
          <w:szCs w:val="32"/>
        </w:rPr>
      </w:pPr>
      <w:r>
        <w:rPr>
          <w:rFonts w:eastAsia="黑体"/>
          <w:szCs w:val="32"/>
        </w:rPr>
        <w:t>三、补贴金额</w:t>
      </w:r>
    </w:p>
    <w:p>
      <w:pPr>
        <w:spacing w:line="600" w:lineRule="exact"/>
        <w:ind w:firstLine="632" w:firstLineChars="200"/>
        <w:rPr>
          <w:szCs w:val="32"/>
        </w:rPr>
      </w:pPr>
      <w:r>
        <w:rPr>
          <w:szCs w:val="32"/>
        </w:rPr>
        <w:t>每月补贴金额=实际保障面积×单位补贴标准</w:t>
      </w:r>
      <w:r>
        <w:rPr>
          <w:rFonts w:hint="eastAsia" w:ascii="仿宋_GB2312" w:hAnsi="仿宋_GB2312" w:eastAsia="仿宋_GB2312" w:cs="仿宋_GB2312"/>
          <w:szCs w:val="32"/>
        </w:rPr>
        <w:t>×</w:t>
      </w:r>
      <w:r>
        <w:rPr>
          <w:szCs w:val="32"/>
        </w:rPr>
        <w:t>分档系数标准；</w:t>
      </w:r>
      <w:r>
        <w:rPr>
          <w:color w:val="000000"/>
          <w:szCs w:val="32"/>
        </w:rPr>
        <w:t>每月补贴金额低于200元的，按照200元予以补贴。</w:t>
      </w:r>
    </w:p>
    <w:p>
      <w:pPr>
        <w:spacing w:line="600" w:lineRule="exact"/>
        <w:ind w:firstLine="632" w:firstLineChars="200"/>
        <w:rPr>
          <w:rFonts w:eastAsia="楷体_GB2312"/>
          <w:szCs w:val="32"/>
        </w:rPr>
      </w:pPr>
      <w:r>
        <w:rPr>
          <w:rFonts w:eastAsia="楷体_GB2312"/>
          <w:szCs w:val="32"/>
        </w:rPr>
        <w:t>（一）实际保障面积。</w:t>
      </w:r>
    </w:p>
    <w:p>
      <w:pPr>
        <w:spacing w:line="600" w:lineRule="exact"/>
        <w:ind w:firstLine="632" w:firstLineChars="200"/>
        <w:rPr>
          <w:szCs w:val="32"/>
        </w:rPr>
      </w:pPr>
      <w:r>
        <w:rPr>
          <w:szCs w:val="32"/>
        </w:rPr>
        <w:t>保障面积标准与保障对象现有住房建筑面积的差额。其中，保障面积标准为：保障对象2人以下的，建筑面积36平方米；保障对象3人以上的，建筑面积60平方米。</w:t>
      </w:r>
    </w:p>
    <w:p>
      <w:pPr>
        <w:spacing w:line="600" w:lineRule="exact"/>
        <w:ind w:firstLine="608" w:firstLineChars="200"/>
        <w:rPr>
          <w:rFonts w:eastAsia="楷体_GB2312"/>
          <w:szCs w:val="32"/>
        </w:rPr>
      </w:pPr>
      <w:r>
        <w:rPr>
          <w:rFonts w:eastAsia="楷体_GB2312"/>
          <w:spacing w:val="-6"/>
          <w:szCs w:val="32"/>
        </w:rPr>
        <w:t>（二）单位补贴标准。</w:t>
      </w:r>
    </w:p>
    <w:p>
      <w:pPr>
        <w:spacing w:line="600" w:lineRule="exact"/>
        <w:ind w:firstLine="632" w:firstLineChars="200"/>
        <w:rPr>
          <w:color w:val="000000"/>
          <w:szCs w:val="32"/>
        </w:rPr>
      </w:pPr>
      <w:r>
        <w:rPr>
          <w:color w:val="000000"/>
          <w:szCs w:val="32"/>
        </w:rPr>
        <w:t>每月不低于8元</w:t>
      </w:r>
      <w:r>
        <w:rPr>
          <w:rFonts w:hint="eastAsia" w:ascii="仿宋_GB2312" w:hAnsi="仿宋_GB2312" w:eastAsia="仿宋_GB2312" w:cs="仿宋_GB2312"/>
          <w:color w:val="000000"/>
          <w:szCs w:val="32"/>
        </w:rPr>
        <w:t>/</w:t>
      </w:r>
      <w:r>
        <w:rPr>
          <w:color w:val="000000"/>
          <w:szCs w:val="32"/>
        </w:rPr>
        <w:t>平方米、不高于20元</w:t>
      </w:r>
      <w:r>
        <w:rPr>
          <w:rFonts w:hint="eastAsia" w:ascii="仿宋_GB2312" w:hAnsi="仿宋_GB2312" w:eastAsia="仿宋_GB2312" w:cs="仿宋_GB2312"/>
          <w:color w:val="000000"/>
          <w:szCs w:val="32"/>
        </w:rPr>
        <w:t>/</w:t>
      </w:r>
      <w:r>
        <w:rPr>
          <w:color w:val="000000"/>
          <w:szCs w:val="32"/>
        </w:rPr>
        <w:t>平方米。具体标准根据商品住房市场平均租金，综合考虑保障对象支付能力后确定，并实行动态调整。</w:t>
      </w:r>
    </w:p>
    <w:p>
      <w:pPr>
        <w:spacing w:line="600" w:lineRule="exact"/>
        <w:ind w:firstLine="608" w:firstLineChars="200"/>
        <w:rPr>
          <w:rFonts w:eastAsia="楷体_GB2312"/>
          <w:szCs w:val="32"/>
        </w:rPr>
      </w:pPr>
      <w:r>
        <w:rPr>
          <w:rFonts w:eastAsia="楷体_GB2312"/>
          <w:spacing w:val="-6"/>
          <w:szCs w:val="32"/>
        </w:rPr>
        <w:t>（三）分档系数标准。</w:t>
      </w:r>
    </w:p>
    <w:p>
      <w:pPr>
        <w:spacing w:line="600" w:lineRule="exact"/>
        <w:ind w:firstLine="632" w:firstLineChars="200"/>
        <w:rPr>
          <w:szCs w:val="32"/>
        </w:rPr>
      </w:pPr>
      <w:r>
        <w:rPr>
          <w:szCs w:val="32"/>
        </w:rPr>
        <w:t>1</w:t>
      </w:r>
      <w:r>
        <w:rPr>
          <w:rFonts w:hint="eastAsia"/>
          <w:szCs w:val="32"/>
        </w:rPr>
        <w:t xml:space="preserve">. </w:t>
      </w:r>
      <w:r>
        <w:rPr>
          <w:szCs w:val="32"/>
        </w:rPr>
        <w:t>符合台州市区最低生活保障</w:t>
      </w:r>
      <w:r>
        <w:rPr>
          <w:color w:val="000000"/>
          <w:szCs w:val="32"/>
        </w:rPr>
        <w:t>条件</w:t>
      </w:r>
      <w:r>
        <w:rPr>
          <w:szCs w:val="32"/>
        </w:rPr>
        <w:t>的城镇低收入住房困难家庭，系数标准为1.0；</w:t>
      </w:r>
    </w:p>
    <w:p>
      <w:pPr>
        <w:spacing w:line="600" w:lineRule="exact"/>
        <w:ind w:firstLine="632" w:firstLineChars="200"/>
        <w:rPr>
          <w:szCs w:val="32"/>
        </w:rPr>
      </w:pPr>
      <w:r>
        <w:rPr>
          <w:szCs w:val="32"/>
        </w:rPr>
        <w:t>2</w:t>
      </w:r>
      <w:r>
        <w:rPr>
          <w:rFonts w:hint="eastAsia"/>
          <w:szCs w:val="32"/>
        </w:rPr>
        <w:t xml:space="preserve">. </w:t>
      </w:r>
      <w:r>
        <w:rPr>
          <w:szCs w:val="32"/>
        </w:rPr>
        <w:t>其他城镇低收入住房困难家庭，系数标准为0.6；</w:t>
      </w:r>
    </w:p>
    <w:p>
      <w:pPr>
        <w:spacing w:line="600" w:lineRule="exact"/>
        <w:ind w:firstLine="632" w:firstLineChars="200"/>
        <w:rPr>
          <w:szCs w:val="32"/>
        </w:rPr>
      </w:pPr>
      <w:r>
        <w:rPr>
          <w:szCs w:val="32"/>
        </w:rPr>
        <w:t>3</w:t>
      </w:r>
      <w:r>
        <w:rPr>
          <w:rFonts w:hint="eastAsia"/>
          <w:szCs w:val="32"/>
        </w:rPr>
        <w:t xml:space="preserve">. </w:t>
      </w:r>
      <w:r>
        <w:rPr>
          <w:szCs w:val="32"/>
        </w:rPr>
        <w:t>城镇中等偏下收入住房困难家庭、新就业</w:t>
      </w:r>
      <w:r>
        <w:rPr>
          <w:rFonts w:hint="eastAsia"/>
          <w:szCs w:val="32"/>
          <w:lang w:eastAsia="zh-CN"/>
        </w:rPr>
        <w:t>无房职工</w:t>
      </w:r>
      <w:r>
        <w:rPr>
          <w:szCs w:val="32"/>
        </w:rPr>
        <w:t>及其他保障对象，系数标准为0.5。</w:t>
      </w:r>
    </w:p>
    <w:p>
      <w:pPr>
        <w:spacing w:line="600" w:lineRule="exact"/>
        <w:ind w:firstLine="632" w:firstLineChars="200"/>
        <w:rPr>
          <w:rFonts w:eastAsia="黑体"/>
          <w:szCs w:val="32"/>
        </w:rPr>
      </w:pPr>
      <w:r>
        <w:rPr>
          <w:rFonts w:eastAsia="黑体"/>
          <w:szCs w:val="32"/>
        </w:rPr>
        <w:t>四、发放程序</w:t>
      </w:r>
    </w:p>
    <w:p>
      <w:pPr>
        <w:spacing w:line="600" w:lineRule="exact"/>
        <w:ind w:firstLine="632" w:firstLineChars="200"/>
        <w:rPr>
          <w:rFonts w:hint="eastAsia" w:ascii="仿宋_GB2312" w:hAnsi="仿宋_GB2312" w:eastAsia="仿宋_GB2312" w:cs="仿宋_GB2312"/>
          <w:color w:val="000000"/>
          <w:szCs w:val="32"/>
          <w:u w:val="single"/>
        </w:rPr>
      </w:pPr>
      <w:r>
        <w:rPr>
          <w:rFonts w:eastAsia="楷体_GB2312"/>
          <w:szCs w:val="32"/>
        </w:rPr>
        <w:t>（一）资格确认。</w:t>
      </w:r>
      <w:r>
        <w:rPr>
          <w:rFonts w:hint="eastAsia" w:ascii="仿宋_GB2312" w:hAnsi="仿宋_GB2312" w:eastAsia="仿宋_GB2312" w:cs="仿宋_GB2312"/>
          <w:szCs w:val="32"/>
        </w:rPr>
        <w:t>各地应当按照公租房申请“一件事”的要求，根据申请人的申请，落实受理、审核、公示等环节，健全收入、住房和其他信息审核的部门协作机制，开展公租房租赁补贴保障对象的资格确认。</w:t>
      </w:r>
    </w:p>
    <w:p>
      <w:pPr>
        <w:spacing w:line="600" w:lineRule="exact"/>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申请人应当对申请材料的真实性负责，并书面同意对申请材料进行审核。</w:t>
      </w:r>
    </w:p>
    <w:p>
      <w:pPr>
        <w:spacing w:line="600" w:lineRule="exact"/>
        <w:ind w:firstLine="632" w:firstLineChars="200"/>
        <w:rPr>
          <w:szCs w:val="32"/>
        </w:rPr>
      </w:pPr>
      <w:r>
        <w:rPr>
          <w:rFonts w:hint="eastAsia" w:ascii="仿宋_GB2312" w:hAnsi="仿宋_GB2312" w:eastAsia="仿宋_GB2312" w:cs="仿宋_GB2312"/>
          <w:szCs w:val="32"/>
        </w:rPr>
        <w:t>具有下列情形之一的，不得申请公租房租赁补贴：</w:t>
      </w:r>
    </w:p>
    <w:p>
      <w:pPr>
        <w:spacing w:line="600" w:lineRule="exact"/>
        <w:ind w:firstLine="632" w:firstLineChars="200"/>
        <w:rPr>
          <w:szCs w:val="32"/>
        </w:rPr>
      </w:pPr>
      <w:r>
        <w:rPr>
          <w:szCs w:val="32"/>
        </w:rPr>
        <w:t>1</w:t>
      </w:r>
      <w:r>
        <w:rPr>
          <w:rFonts w:hint="eastAsia"/>
          <w:szCs w:val="32"/>
        </w:rPr>
        <w:t xml:space="preserve">. </w:t>
      </w:r>
      <w:r>
        <w:rPr>
          <w:szCs w:val="32"/>
        </w:rPr>
        <w:t>已享受房改房、集资房、经济适用住房等政策性住房的；</w:t>
      </w:r>
    </w:p>
    <w:p>
      <w:pPr>
        <w:spacing w:line="600" w:lineRule="exact"/>
        <w:ind w:firstLine="632" w:firstLineChars="200"/>
        <w:rPr>
          <w:szCs w:val="32"/>
        </w:rPr>
      </w:pPr>
      <w:r>
        <w:rPr>
          <w:szCs w:val="32"/>
        </w:rPr>
        <w:t>2</w:t>
      </w:r>
      <w:r>
        <w:rPr>
          <w:rFonts w:hint="eastAsia"/>
          <w:szCs w:val="32"/>
        </w:rPr>
        <w:t xml:space="preserve">. </w:t>
      </w:r>
      <w:r>
        <w:rPr>
          <w:szCs w:val="32"/>
        </w:rPr>
        <w:t>已享</w:t>
      </w:r>
      <w:r>
        <w:rPr>
          <w:rFonts w:hint="eastAsia" w:ascii="仿宋_GB2312" w:hAnsi="仿宋_GB2312" w:eastAsia="仿宋_GB2312" w:cs="仿宋_GB2312"/>
          <w:szCs w:val="32"/>
        </w:rPr>
        <w:t>受人才“房票”、住房公</w:t>
      </w:r>
      <w:r>
        <w:rPr>
          <w:szCs w:val="32"/>
        </w:rPr>
        <w:t>积金补贴的；</w:t>
      </w:r>
    </w:p>
    <w:p>
      <w:pPr>
        <w:spacing w:line="600" w:lineRule="exact"/>
        <w:ind w:firstLine="632" w:firstLineChars="200"/>
        <w:rPr>
          <w:szCs w:val="32"/>
        </w:rPr>
      </w:pPr>
      <w:r>
        <w:rPr>
          <w:szCs w:val="32"/>
        </w:rPr>
        <w:t>3</w:t>
      </w:r>
      <w:r>
        <w:rPr>
          <w:rFonts w:hint="eastAsia"/>
          <w:szCs w:val="32"/>
        </w:rPr>
        <w:t xml:space="preserve">. </w:t>
      </w:r>
      <w:r>
        <w:rPr>
          <w:szCs w:val="32"/>
        </w:rPr>
        <w:t>仍在政府租房补贴享受期限内的；</w:t>
      </w:r>
    </w:p>
    <w:p>
      <w:pPr>
        <w:spacing w:line="600" w:lineRule="exact"/>
        <w:ind w:firstLine="632" w:firstLineChars="200"/>
        <w:rPr>
          <w:szCs w:val="32"/>
        </w:rPr>
      </w:pPr>
      <w:r>
        <w:rPr>
          <w:szCs w:val="32"/>
        </w:rPr>
        <w:t>4</w:t>
      </w:r>
      <w:r>
        <w:rPr>
          <w:rFonts w:hint="eastAsia"/>
          <w:szCs w:val="32"/>
        </w:rPr>
        <w:t xml:space="preserve">. </w:t>
      </w:r>
      <w:r>
        <w:rPr>
          <w:szCs w:val="32"/>
        </w:rPr>
        <w:t>仍在保障性租赁住房享受期限内的。</w:t>
      </w:r>
    </w:p>
    <w:p>
      <w:pPr>
        <w:spacing w:line="600" w:lineRule="exact"/>
        <w:ind w:firstLine="632" w:firstLineChars="200"/>
        <w:rPr>
          <w:szCs w:val="32"/>
        </w:rPr>
      </w:pPr>
      <w:r>
        <w:rPr>
          <w:rFonts w:eastAsia="楷体_GB2312"/>
          <w:szCs w:val="32"/>
        </w:rPr>
        <w:t>（二）补贴发放。</w:t>
      </w:r>
      <w:r>
        <w:rPr>
          <w:szCs w:val="32"/>
        </w:rPr>
        <w:t>住房城乡建设部门或者其指定的单位应当在保障对象资格确认后通过与保障对象签订公租房租赁补贴协议等方式，明确补贴标准、发放期限、停发补贴事项及违约责任等内容；公租房租赁补贴自保障对象资格确认后次月开始计算，按照月度或者季度予以发放。</w:t>
      </w:r>
    </w:p>
    <w:p>
      <w:pPr>
        <w:spacing w:line="600" w:lineRule="exact"/>
        <w:ind w:firstLine="632" w:firstLineChars="200"/>
        <w:rPr>
          <w:szCs w:val="32"/>
        </w:rPr>
      </w:pPr>
      <w:r>
        <w:rPr>
          <w:szCs w:val="32"/>
        </w:rPr>
        <w:t>已享受公租房实物配租（包括承租国家直管公房、单位自管房等公有住房或者人才公寓，下同）的保障对象，如符合公租房租赁补贴保障要求的，自退出公租房（包括国家直管公房、单位自管房等公有住房或者人才公寓）后次月方可发放公租房租赁补贴。享受公租房租赁补贴期间申请公租房实物配租的，享受公租房实物配租当月起停止发放公租房租赁补贴。</w:t>
      </w:r>
    </w:p>
    <w:p>
      <w:pPr>
        <w:spacing w:line="600" w:lineRule="exact"/>
        <w:ind w:firstLine="632" w:firstLineChars="200"/>
        <w:rPr>
          <w:rFonts w:eastAsia="黑体"/>
          <w:szCs w:val="32"/>
        </w:rPr>
      </w:pPr>
      <w:r>
        <w:rPr>
          <w:rFonts w:eastAsia="黑体"/>
          <w:szCs w:val="32"/>
        </w:rPr>
        <w:t>五、监督管理</w:t>
      </w:r>
    </w:p>
    <w:p>
      <w:pPr>
        <w:spacing w:line="600" w:lineRule="exact"/>
        <w:ind w:firstLine="632" w:firstLineChars="200"/>
        <w:rPr>
          <w:szCs w:val="32"/>
        </w:rPr>
      </w:pPr>
      <w:r>
        <w:rPr>
          <w:rFonts w:eastAsia="楷体_GB2312"/>
          <w:szCs w:val="32"/>
        </w:rPr>
        <w:t>（一）加强组织领导。</w:t>
      </w:r>
      <w:r>
        <w:rPr>
          <w:szCs w:val="32"/>
        </w:rPr>
        <w:t>做好公租房租赁补贴工作，是优化城镇住房保障方式的有效举措，是加快改善住房困难家庭居住条件的重要方式，也是培育和发展住房租赁市场的必然要求。各地、各部门要高度重视，落实责任，相互配合，确保将这项惠民政策办实、办好。各地住房城乡建设部门要切实负起牵头责任，加强公租房租赁补贴资金使用计划及年度预算编制、保障对象的资格确认和补贴发放；</w:t>
      </w:r>
      <w:r>
        <w:rPr>
          <w:color w:val="000000"/>
          <w:szCs w:val="32"/>
        </w:rPr>
        <w:t>财政部门要做好公租房租赁补贴资金保障和监管；</w:t>
      </w:r>
      <w:r>
        <w:rPr>
          <w:szCs w:val="32"/>
        </w:rPr>
        <w:t>其他各有关部门要根据各自职责，共同做好公租房租赁补贴有关工作。</w:t>
      </w:r>
    </w:p>
    <w:p>
      <w:pPr>
        <w:spacing w:line="600" w:lineRule="exact"/>
        <w:ind w:firstLine="632" w:firstLineChars="200"/>
        <w:rPr>
          <w:szCs w:val="32"/>
        </w:rPr>
      </w:pPr>
      <w:r>
        <w:rPr>
          <w:rFonts w:eastAsia="楷体_GB2312"/>
          <w:szCs w:val="32"/>
        </w:rPr>
        <w:t>（二）落实资金保障。</w:t>
      </w:r>
      <w:r>
        <w:rPr>
          <w:szCs w:val="32"/>
        </w:rPr>
        <w:t>各地要积极将公租房租赁补贴户数申报列入城镇保障性安居工程年度计划，争取上级财政城镇保障性安居工程专项资金。要严格按照有关规定从土地出让金（或者土地出让收益）、住房公积金增值收益等渠道及时、足额提取住房保障专项资金，用于发放公租房租赁补贴。</w:t>
      </w:r>
    </w:p>
    <w:p>
      <w:pPr>
        <w:spacing w:line="600" w:lineRule="exact"/>
        <w:ind w:firstLine="632" w:firstLineChars="200"/>
        <w:rPr>
          <w:color w:val="000000"/>
          <w:szCs w:val="32"/>
        </w:rPr>
      </w:pPr>
      <w:r>
        <w:rPr>
          <w:rFonts w:eastAsia="楷体_GB2312"/>
          <w:szCs w:val="32"/>
        </w:rPr>
        <w:t>（三）实行动态管理。</w:t>
      </w:r>
      <w:r>
        <w:rPr>
          <w:szCs w:val="32"/>
        </w:rPr>
        <w:t>各地要按户建立公租房租赁补贴档案，并健全年度审查制度，运用大数据手段，加强各部门协作，每年定期对公租房租赁补贴保障对象资格进行复核，及时掌握保障对象的家庭成员、收入、住房等信息变动情况。</w:t>
      </w:r>
      <w:r>
        <w:rPr>
          <w:color w:val="000000"/>
          <w:szCs w:val="32"/>
        </w:rPr>
        <w:t>对不再符合条件的，应当取消公租房租赁补贴保障对象资格，自不再符合条件的次月起终止发放公租房租赁补贴；对需要调整保障类别的，自需要调整保障类别的次月起按照调整后的分档系数标准确定并发放公租房租赁补贴。</w:t>
      </w:r>
    </w:p>
    <w:p>
      <w:pPr>
        <w:spacing w:line="600" w:lineRule="exact"/>
        <w:ind w:firstLine="632" w:firstLineChars="200"/>
        <w:rPr>
          <w:szCs w:val="32"/>
        </w:rPr>
      </w:pPr>
      <w:r>
        <w:rPr>
          <w:rFonts w:eastAsia="楷体_GB2312"/>
          <w:szCs w:val="32"/>
        </w:rPr>
        <w:t>（四）健全信息公开。</w:t>
      </w:r>
      <w:r>
        <w:rPr>
          <w:szCs w:val="32"/>
        </w:rPr>
        <w:t>各地要全面公开公租房租赁补贴的申请审核程序、发放计划、保障对象、发放结果及退出情况等信息，畅通投诉举报渠道，主动接受监督，确保公租房租赁补贴发放的公平、公开、公正。要运用信息公开结果，完善信用体系建设，健全守信激励、失信惩戒机制。</w:t>
      </w:r>
    </w:p>
    <w:p>
      <w:pPr>
        <w:spacing w:line="600" w:lineRule="exact"/>
        <w:ind w:firstLine="632" w:firstLineChars="200"/>
        <w:rPr>
          <w:szCs w:val="32"/>
        </w:rPr>
      </w:pPr>
      <w:r>
        <w:rPr>
          <w:rFonts w:eastAsia="黑体"/>
          <w:szCs w:val="32"/>
        </w:rPr>
        <w:t>六、本意见自</w:t>
      </w:r>
      <w:r>
        <w:rPr>
          <w:rFonts w:hint="eastAsia" w:eastAsia="黑体"/>
          <w:szCs w:val="32"/>
          <w:lang w:val="en-US" w:eastAsia="zh-CN"/>
        </w:rPr>
        <w:t>2022年2月1</w:t>
      </w:r>
      <w:r>
        <w:rPr>
          <w:rFonts w:eastAsia="黑体"/>
          <w:szCs w:val="32"/>
        </w:rPr>
        <w:t>日起施行。</w:t>
      </w:r>
      <w:r>
        <w:rPr>
          <w:szCs w:val="32"/>
        </w:rPr>
        <w:t>市政府原有关规定与本意见不一致的，以本意见为准。椒江区、黄岩区、路桥区、台州湾新区可以根据本意见制定实施细则，各县（市）可以参照本意见执行。</w:t>
      </w:r>
    </w:p>
    <w:p>
      <w:pPr>
        <w:spacing w:line="600" w:lineRule="exact"/>
        <w:ind w:firstLine="645"/>
        <w:rPr>
          <w:rFonts w:ascii="仿宋_GB2312"/>
          <w:szCs w:val="32"/>
        </w:rPr>
      </w:pPr>
      <w:r>
        <w:rPr>
          <w:rFonts w:hint="eastAsia"/>
          <w:szCs w:val="32"/>
          <w:lang w:val="en-US" w:eastAsia="zh-CN"/>
        </w:rPr>
        <w:t xml:space="preserve">                     </w:t>
      </w:r>
    </w:p>
    <w:p>
      <w:pPr>
        <w:keepNext w:val="0"/>
        <w:keepLines w:val="0"/>
        <w:pageBreakBefore w:val="0"/>
        <w:widowControl w:val="0"/>
        <w:tabs>
          <w:tab w:val="left" w:pos="2528"/>
        </w:tabs>
        <w:kinsoku/>
        <w:wordWrap/>
        <w:overflowPunct/>
        <w:topLinePunct w:val="0"/>
        <w:autoSpaceDE/>
        <w:autoSpaceDN/>
        <w:bidi w:val="0"/>
        <w:adjustRightInd/>
        <w:snapToGrid/>
        <w:spacing w:line="600" w:lineRule="exact"/>
        <w:ind w:firstLine="4642" w:firstLineChars="1469"/>
        <w:textAlignment w:val="auto"/>
        <w:rPr>
          <w:rFonts w:hint="eastAsia"/>
        </w:rPr>
      </w:pPr>
      <w:r>
        <w:rPr>
          <w:rFonts w:hint="eastAsia"/>
        </w:rPr>
        <w:t>台州市人民政府办公室</w:t>
      </w:r>
    </w:p>
    <w:p>
      <w:pPr>
        <w:tabs>
          <w:tab w:val="left" w:pos="2528"/>
        </w:tabs>
        <w:spacing w:line="600" w:lineRule="exact"/>
        <w:ind w:right="1264" w:rightChars="400"/>
        <w:jc w:val="right"/>
        <w:rPr>
          <w:rFonts w:hint="eastAsia"/>
        </w:rPr>
      </w:pPr>
      <w:r>
        <w:rPr>
          <w:rFonts w:hint="eastAsia"/>
        </w:rPr>
        <w:t>2021年</w:t>
      </w:r>
      <w:r>
        <w:rPr>
          <w:rFonts w:hint="eastAsia"/>
          <w:lang w:val="en-US" w:eastAsia="zh-CN"/>
        </w:rPr>
        <w:t>12</w:t>
      </w:r>
      <w:r>
        <w:rPr>
          <w:rFonts w:hint="eastAsia"/>
        </w:rPr>
        <w:t>月</w:t>
      </w:r>
      <w:r>
        <w:rPr>
          <w:rFonts w:hint="eastAsia"/>
          <w:lang w:val="en-US" w:eastAsia="zh-CN"/>
        </w:rPr>
        <w:t>27</w:t>
      </w:r>
      <w:r>
        <w:rPr>
          <w:rFonts w:hint="eastAsia"/>
        </w:rPr>
        <w:t>日</w:t>
      </w:r>
    </w:p>
    <w:p>
      <w:pPr>
        <w:spacing w:line="600" w:lineRule="exact"/>
        <w:ind w:firstLine="632" w:firstLineChars="200"/>
        <w:rPr>
          <w:rFonts w:hint="eastAsia" w:ascii="仿宋_GB2312" w:hAnsi="宋体" w:cs="宋体"/>
          <w:color w:val="000000"/>
          <w:kern w:val="0"/>
        </w:rPr>
      </w:pPr>
      <w:r>
        <w:rPr>
          <w:rFonts w:hint="eastAsia" w:ascii="仿宋_GB2312" w:hAnsi="宋体" w:cs="宋体"/>
          <w:color w:val="000000"/>
          <w:kern w:val="0"/>
        </w:rPr>
        <w:t>（此件公开发布）</w:t>
      </w:r>
    </w:p>
    <w:p>
      <w:pPr>
        <w:ind w:left="1240" w:leftChars="100" w:hanging="924" w:hangingChars="300"/>
        <w:jc w:val="left"/>
        <w:rPr>
          <w:rFonts w:hint="eastAsia"/>
          <w:spacing w:val="-4"/>
          <w:szCs w:val="32"/>
        </w:rPr>
        <w:sectPr>
          <w:footerReference r:id="rId3" w:type="default"/>
          <w:footerReference r:id="rId4" w:type="even"/>
          <w:pgSz w:w="11907" w:h="16840"/>
          <w:pgMar w:top="1871" w:right="1474" w:bottom="1758" w:left="1588" w:header="851" w:footer="1134" w:gutter="0"/>
          <w:cols w:space="720" w:num="1"/>
          <w:docGrid w:type="linesAndChars" w:linePitch="600" w:charSpace="-842"/>
        </w:sect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240" w:leftChars="100" w:hanging="924" w:hangingChars="300"/>
        <w:jc w:val="left"/>
        <w:rPr>
          <w:rFonts w:hint="eastAsia"/>
          <w:spacing w:val="-4"/>
          <w:szCs w:val="32"/>
        </w:rPr>
      </w:pPr>
    </w:p>
    <w:p>
      <w:pPr>
        <w:ind w:left="1240" w:leftChars="100" w:hanging="924" w:hangingChars="300"/>
        <w:jc w:val="left"/>
        <w:rPr>
          <w:rFonts w:hint="eastAsia"/>
          <w:spacing w:val="-4"/>
          <w:szCs w:val="32"/>
        </w:rPr>
      </w:pPr>
    </w:p>
    <w:p>
      <w:pPr>
        <w:ind w:left="1240" w:leftChars="100" w:hanging="924" w:hangingChars="300"/>
        <w:jc w:val="left"/>
        <w:rPr>
          <w:rFonts w:hint="eastAsia"/>
          <w:spacing w:val="-4"/>
          <w:szCs w:val="32"/>
        </w:rPr>
      </w:pPr>
    </w:p>
    <w:p>
      <w:pPr>
        <w:ind w:left="316" w:leftChars="100" w:right="316" w:rightChars="100"/>
        <w:jc w:val="left"/>
        <w:rPr>
          <w:rFonts w:hint="eastAsia"/>
          <w:sz w:val="28"/>
          <w:szCs w:val="28"/>
        </w:rPr>
      </w:pPr>
      <w:r>
        <w:rPr>
          <w:sz w:val="28"/>
          <w:szCs w:val="28"/>
        </w:rPr>
        <w:pict>
          <v:line id="_x0000_s1065" o:spid="_x0000_s1065" o:spt="20" style="position:absolute;left:0pt;margin-left:0pt;margin-top:4.2pt;height:0pt;width:442.4pt;z-index:251662336;mso-width-relative:page;mso-height-relative:page;" coordsize="21600,21600">
            <v:path arrowok="t"/>
            <v:fill focussize="0,0"/>
            <v:stroke weight="1.5pt"/>
            <v:imagedata o:title=""/>
            <o:lock v:ext="edit"/>
          </v:line>
        </w:pict>
      </w:r>
      <w:r>
        <w:rPr>
          <w:rFonts w:hint="eastAsia"/>
          <w:sz w:val="28"/>
          <w:szCs w:val="28"/>
        </w:rPr>
        <w:t>抄送：市委各部门，市人大常委会、市政协办公室，军分区，市监委，</w:t>
      </w:r>
    </w:p>
    <w:p>
      <w:pPr>
        <w:ind w:left="1140" w:leftChars="361"/>
        <w:jc w:val="left"/>
        <w:rPr>
          <w:sz w:val="28"/>
          <w:szCs w:val="28"/>
        </w:rPr>
      </w:pPr>
      <w:r>
        <w:rPr>
          <w:rFonts w:hint="eastAsia"/>
          <w:sz w:val="28"/>
          <w:szCs w:val="28"/>
        </w:rPr>
        <w:t>市法院，市检察院。</w:t>
      </w:r>
    </w:p>
    <w:p>
      <w:pPr>
        <w:ind w:left="316" w:leftChars="100" w:right="316" w:rightChars="100"/>
        <w:jc w:val="left"/>
        <w:rPr>
          <w:rFonts w:hint="eastAsia"/>
        </w:rPr>
      </w:pPr>
      <w:r>
        <w:pict>
          <v:shape id="_x0000_s1066" o:spid="_x0000_s1066" o:spt="75" type="#_x0000_t75" style="position:absolute;left:0pt;margin-left:299.05pt;margin-top:34.75pt;height:40.5pt;width:141pt;z-index:251663360;mso-width-relative:page;mso-height-relative:page;" filled="f" o:preferrelative="t" stroked="f" coordsize="21600,21600">
            <v:path/>
            <v:fill on="f" focussize="0,0"/>
            <v:stroke on="f"/>
            <v:imagedata r:id="rId6" o:title=""/>
            <o:lock v:ext="edit" aspectratio="t"/>
          </v:shape>
        </w:pict>
      </w:r>
      <w:r>
        <w:rPr>
          <w:sz w:val="28"/>
          <w:szCs w:val="28"/>
        </w:rPr>
        <w:pict>
          <v:line id="_x0000_s1064" o:spid="_x0000_s1064" o:spt="20" style="position:absolute;left:0pt;margin-left:0pt;margin-top:0pt;height:0pt;width:442.4pt;z-index:251661312;mso-width-relative:page;mso-height-relative:page;" coordsize="21600,21600">
            <v:path arrowok="t"/>
            <v:fill focussize="0,0"/>
            <v:stroke/>
            <v:imagedata o:title=""/>
            <o:lock v:ext="edit"/>
          </v:line>
        </w:pict>
      </w:r>
      <w:r>
        <w:rPr>
          <w:sz w:val="28"/>
          <w:szCs w:val="28"/>
        </w:rPr>
        <w:pict>
          <v:line id="_x0000_s1063" o:spid="_x0000_s1063" o:spt="20" style="position:absolute;left:0pt;margin-left:0pt;margin-top:29.9pt;height:0pt;width:442.4pt;z-index:251660288;mso-width-relative:page;mso-height-relative:page;" coordsize="21600,21600">
            <v:path arrowok="t"/>
            <v:fill focussize="0,0"/>
            <v:stroke weight="1.5pt"/>
            <v:imagedata o:title=""/>
            <o:lock v:ext="edit"/>
          </v:line>
        </w:pict>
      </w:r>
      <w:r>
        <w:rPr>
          <w:rFonts w:hint="eastAsia"/>
          <w:sz w:val="28"/>
          <w:szCs w:val="28"/>
        </w:rPr>
        <w:t>台州市人民政府办公室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sz w:val="28"/>
          <w:szCs w:val="28"/>
        </w:rPr>
        <w:t>20</w:t>
      </w:r>
      <w:r>
        <w:rPr>
          <w:rFonts w:hint="eastAsia"/>
          <w:sz w:val="28"/>
          <w:szCs w:val="28"/>
        </w:rPr>
        <w:t>21年</w:t>
      </w:r>
      <w:r>
        <w:rPr>
          <w:rFonts w:hint="eastAsia"/>
          <w:sz w:val="28"/>
          <w:szCs w:val="28"/>
          <w:lang w:val="en-US" w:eastAsia="zh-CN"/>
        </w:rPr>
        <w:t>12</w:t>
      </w:r>
      <w:r>
        <w:rPr>
          <w:rFonts w:hint="eastAsia"/>
          <w:sz w:val="28"/>
          <w:szCs w:val="28"/>
        </w:rPr>
        <w:t>月</w:t>
      </w:r>
      <w:r>
        <w:rPr>
          <w:rFonts w:hint="eastAsia"/>
          <w:sz w:val="28"/>
          <w:szCs w:val="28"/>
          <w:lang w:val="en-US" w:eastAsia="zh-CN"/>
        </w:rPr>
        <w:t>28</w:t>
      </w:r>
      <w:r>
        <w:rPr>
          <w:rFonts w:hint="eastAsia"/>
          <w:sz w:val="28"/>
          <w:szCs w:val="28"/>
        </w:rPr>
        <w:t>日印发</w:t>
      </w:r>
    </w:p>
    <w:sectPr>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onospace">
    <w:altName w:val="汉仪仿宋S"/>
    <w:panose1 w:val="00000000000000000000"/>
    <w:charset w:val="00"/>
    <w:family w:val="auto"/>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rPr>
        <w:rFonts w:hint="eastAsia"/>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evenAndOddHeaders w:val="true"/>
  <w:drawingGridHorizontalSpacing w:val="158"/>
  <w:drawingGridVerticalSpacing w:val="29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6.24.106/api/officeService/Servlet?x-auth-token=c9b587c8-24bc-4e27-83d8-41f455a3e241"/>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B03D8"/>
    <w:rsid w:val="000B2886"/>
    <w:rsid w:val="000C10BB"/>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15B0D"/>
    <w:rsid w:val="00316AC3"/>
    <w:rsid w:val="003474F8"/>
    <w:rsid w:val="00364045"/>
    <w:rsid w:val="00365D39"/>
    <w:rsid w:val="00367A42"/>
    <w:rsid w:val="00373EA2"/>
    <w:rsid w:val="00377DA6"/>
    <w:rsid w:val="00383970"/>
    <w:rsid w:val="00396357"/>
    <w:rsid w:val="003974ED"/>
    <w:rsid w:val="003A3706"/>
    <w:rsid w:val="003D164C"/>
    <w:rsid w:val="003E1F5E"/>
    <w:rsid w:val="003F4C47"/>
    <w:rsid w:val="003F75EA"/>
    <w:rsid w:val="004033D3"/>
    <w:rsid w:val="004134B2"/>
    <w:rsid w:val="004405B3"/>
    <w:rsid w:val="00457DFC"/>
    <w:rsid w:val="00474CD3"/>
    <w:rsid w:val="0047510A"/>
    <w:rsid w:val="0048657E"/>
    <w:rsid w:val="004A1D56"/>
    <w:rsid w:val="004B72BB"/>
    <w:rsid w:val="004C05F8"/>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A0CED"/>
    <w:rsid w:val="005A1F84"/>
    <w:rsid w:val="005A2565"/>
    <w:rsid w:val="005B10A9"/>
    <w:rsid w:val="005B2243"/>
    <w:rsid w:val="005F2F36"/>
    <w:rsid w:val="005F63EB"/>
    <w:rsid w:val="00611CDF"/>
    <w:rsid w:val="00635884"/>
    <w:rsid w:val="006369D2"/>
    <w:rsid w:val="006606D7"/>
    <w:rsid w:val="00665C90"/>
    <w:rsid w:val="00681646"/>
    <w:rsid w:val="006903D2"/>
    <w:rsid w:val="00695EAC"/>
    <w:rsid w:val="006A1AEA"/>
    <w:rsid w:val="006A75D5"/>
    <w:rsid w:val="006B165D"/>
    <w:rsid w:val="006C1379"/>
    <w:rsid w:val="006C2836"/>
    <w:rsid w:val="006C7263"/>
    <w:rsid w:val="006D131B"/>
    <w:rsid w:val="006E14C7"/>
    <w:rsid w:val="0071279A"/>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57BED"/>
    <w:rsid w:val="00A63B03"/>
    <w:rsid w:val="00A81294"/>
    <w:rsid w:val="00A87323"/>
    <w:rsid w:val="00AB2C41"/>
    <w:rsid w:val="00AB5026"/>
    <w:rsid w:val="00AB64DD"/>
    <w:rsid w:val="00AC22BF"/>
    <w:rsid w:val="00AE2CB8"/>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D11F1"/>
    <w:rsid w:val="00CD66E0"/>
    <w:rsid w:val="00CE6452"/>
    <w:rsid w:val="00CF5918"/>
    <w:rsid w:val="00D05ED3"/>
    <w:rsid w:val="00D24EA8"/>
    <w:rsid w:val="00D44D44"/>
    <w:rsid w:val="00D47CBF"/>
    <w:rsid w:val="00D52DD0"/>
    <w:rsid w:val="00D64CB4"/>
    <w:rsid w:val="00D67264"/>
    <w:rsid w:val="00D71AA8"/>
    <w:rsid w:val="00D75456"/>
    <w:rsid w:val="00D75E00"/>
    <w:rsid w:val="00D81F11"/>
    <w:rsid w:val="00D90667"/>
    <w:rsid w:val="00D93956"/>
    <w:rsid w:val="00DA0616"/>
    <w:rsid w:val="00DA5D10"/>
    <w:rsid w:val="00DA697D"/>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6365"/>
    <w:rsid w:val="00EC6597"/>
    <w:rsid w:val="00ED756E"/>
    <w:rsid w:val="00F02C5F"/>
    <w:rsid w:val="00F03798"/>
    <w:rsid w:val="00F0546C"/>
    <w:rsid w:val="00F054FB"/>
    <w:rsid w:val="00F1299E"/>
    <w:rsid w:val="00F12C27"/>
    <w:rsid w:val="00F64793"/>
    <w:rsid w:val="00F764C6"/>
    <w:rsid w:val="00F7726E"/>
    <w:rsid w:val="00F86173"/>
    <w:rsid w:val="00F92A80"/>
    <w:rsid w:val="00FA3781"/>
    <w:rsid w:val="00FB6672"/>
    <w:rsid w:val="00FB690D"/>
    <w:rsid w:val="00FC0AAF"/>
    <w:rsid w:val="00FC66DC"/>
    <w:rsid w:val="00FE1572"/>
    <w:rsid w:val="00FE7325"/>
    <w:rsid w:val="02823586"/>
    <w:rsid w:val="073F1183"/>
    <w:rsid w:val="14233A0E"/>
    <w:rsid w:val="157164E9"/>
    <w:rsid w:val="1BB2209D"/>
    <w:rsid w:val="1F0D77D8"/>
    <w:rsid w:val="237C2CDE"/>
    <w:rsid w:val="2FAF6AF1"/>
    <w:rsid w:val="3FDFC6A5"/>
    <w:rsid w:val="61F2B150"/>
    <w:rsid w:val="62FF9EC5"/>
    <w:rsid w:val="65EF7620"/>
    <w:rsid w:val="6BBB5842"/>
    <w:rsid w:val="6BF787FD"/>
    <w:rsid w:val="75A7FCE0"/>
    <w:rsid w:val="7B226297"/>
    <w:rsid w:val="7F39B0EE"/>
    <w:rsid w:val="7F57C743"/>
    <w:rsid w:val="7FE35471"/>
    <w:rsid w:val="8FEF5B11"/>
    <w:rsid w:val="AFFB142F"/>
    <w:rsid w:val="B77F290B"/>
    <w:rsid w:val="BEA7FEB4"/>
    <w:rsid w:val="BFF72752"/>
    <w:rsid w:val="DFE5DF6A"/>
    <w:rsid w:val="E3FF6785"/>
    <w:rsid w:val="E3FFF982"/>
    <w:rsid w:val="E7AF0308"/>
    <w:rsid w:val="F477FD30"/>
    <w:rsid w:val="F72F1A36"/>
    <w:rsid w:val="F7AD4A40"/>
    <w:rsid w:val="F7FC82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0" w:lineRule="atLeast"/>
      <w:jc w:val="center"/>
    </w:pPr>
    <w:rPr>
      <w:rFonts w:eastAsia="方正小标宋简体"/>
      <w:sz w:val="44"/>
      <w:szCs w:val="20"/>
    </w:rPr>
  </w:style>
  <w:style w:type="paragraph" w:styleId="4">
    <w:name w:val="Body Text Indent"/>
    <w:basedOn w:val="1"/>
    <w:qFormat/>
    <w:uiPriority w:val="0"/>
    <w:pPr>
      <w:ind w:firstLine="615"/>
    </w:pPr>
    <w:rPr>
      <w:szCs w:val="20"/>
    </w:rPr>
  </w:style>
  <w:style w:type="paragraph" w:styleId="5">
    <w:name w:val="Date"/>
    <w:basedOn w:val="1"/>
    <w:next w:val="1"/>
    <w:qFormat/>
    <w:uiPriority w:val="0"/>
    <w:pPr>
      <w:ind w:left="100" w:leftChars="2500"/>
    </w:pPr>
  </w:style>
  <w:style w:type="paragraph" w:styleId="6">
    <w:name w:val="Body Text Indent 2"/>
    <w:basedOn w:val="1"/>
    <w:qFormat/>
    <w:uiPriority w:val="0"/>
    <w:pPr>
      <w:ind w:firstLine="608" w:firstLineChars="200"/>
    </w:pPr>
    <w:rPr>
      <w:rFonts w:ascii="仿宋_GB2312"/>
      <w:spacing w:val="-6"/>
    </w:rPr>
  </w:style>
  <w:style w:type="paragraph" w:styleId="7">
    <w:name w:val="Balloon Text"/>
    <w:basedOn w:val="1"/>
    <w:link w:val="21"/>
    <w:semiHidden/>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598" w:lineRule="exact"/>
      <w:ind w:firstLine="616" w:firstLineChars="200"/>
    </w:pPr>
    <w:rPr>
      <w:spacing w:val="-4"/>
    </w:rPr>
  </w:style>
  <w:style w:type="paragraph" w:styleId="11">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FollowedHyperlink"/>
    <w:basedOn w:val="14"/>
    <w:qFormat/>
    <w:uiPriority w:val="0"/>
    <w:rPr>
      <w:color w:val="800080"/>
      <w:u w:val="single"/>
    </w:rPr>
  </w:style>
  <w:style w:type="character" w:styleId="17">
    <w:name w:val="Hyperlink"/>
    <w:basedOn w:val="14"/>
    <w:qFormat/>
    <w:uiPriority w:val="0"/>
    <w:rPr>
      <w:color w:val="0000FF"/>
      <w:u w:val="single"/>
    </w:rPr>
  </w:style>
  <w:style w:type="character" w:styleId="18">
    <w:name w:val="HTML Code"/>
    <w:basedOn w:val="14"/>
    <w:qFormat/>
    <w:uiPriority w:val="0"/>
    <w:rPr>
      <w:rFonts w:hint="default" w:ascii="monospace" w:hAnsi="monospace" w:eastAsia="monospace" w:cs="monospace"/>
      <w:sz w:val="21"/>
      <w:szCs w:val="21"/>
    </w:rPr>
  </w:style>
  <w:style w:type="character" w:styleId="19">
    <w:name w:val="HTML Keyboard"/>
    <w:basedOn w:val="14"/>
    <w:qFormat/>
    <w:uiPriority w:val="0"/>
    <w:rPr>
      <w:rFonts w:ascii="monospace" w:hAnsi="monospace" w:eastAsia="monospace" w:cs="monospace"/>
      <w:sz w:val="21"/>
      <w:szCs w:val="21"/>
    </w:rPr>
  </w:style>
  <w:style w:type="character" w:styleId="20">
    <w:name w:val="HTML Sample"/>
    <w:basedOn w:val="14"/>
    <w:qFormat/>
    <w:uiPriority w:val="0"/>
    <w:rPr>
      <w:rFonts w:hint="default" w:ascii="monospace" w:hAnsi="monospace" w:eastAsia="monospace" w:cs="monospace"/>
      <w:sz w:val="21"/>
      <w:szCs w:val="21"/>
    </w:rPr>
  </w:style>
  <w:style w:type="character" w:customStyle="1" w:styleId="21">
    <w:name w:val="批注框文本 Char"/>
    <w:link w:val="7"/>
    <w:qFormat/>
    <w:uiPriority w:val="0"/>
    <w:rPr>
      <w:rFonts w:eastAsia="仿宋_GB2312"/>
      <w:kern w:val="2"/>
      <w:sz w:val="18"/>
      <w:szCs w:val="18"/>
      <w:lang w:val="en-US" w:eastAsia="zh-CN" w:bidi="ar-SA"/>
    </w:rPr>
  </w:style>
  <w:style w:type="character" w:customStyle="1" w:styleId="22">
    <w:name w:val="页脚 Char"/>
    <w:link w:val="8"/>
    <w:qFormat/>
    <w:uiPriority w:val="0"/>
    <w:rPr>
      <w:rFonts w:eastAsia="仿宋_GB2312"/>
      <w:kern w:val="2"/>
      <w:sz w:val="18"/>
      <w:szCs w:val="18"/>
      <w:lang w:val="en-US" w:eastAsia="zh-CN" w:bidi="ar-SA"/>
    </w:rPr>
  </w:style>
  <w:style w:type="character" w:customStyle="1" w:styleId="23">
    <w:name w:val="页眉 Char"/>
    <w:link w:val="9"/>
    <w:qFormat/>
    <w:uiPriority w:val="0"/>
    <w:rPr>
      <w:rFonts w:eastAsia="仿宋_GB2312"/>
      <w:kern w:val="2"/>
      <w:sz w:val="18"/>
      <w:szCs w:val="18"/>
      <w:lang w:val="en-US" w:eastAsia="zh-CN" w:bidi="ar-SA"/>
    </w:rPr>
  </w:style>
  <w:style w:type="paragraph" w:customStyle="1" w:styleId="24">
    <w:name w:val="Char1"/>
    <w:basedOn w:val="1"/>
    <w:qFormat/>
    <w:uiPriority w:val="0"/>
    <w:rPr>
      <w:rFonts w:ascii="仿宋_GB2312"/>
      <w:b/>
      <w:szCs w:val="32"/>
    </w:rPr>
  </w:style>
  <w:style w:type="paragraph" w:customStyle="1" w:styleId="2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6">
    <w:name w:val=" Char1 Char Char Char"/>
    <w:basedOn w:val="1"/>
    <w:qFormat/>
    <w:uiPriority w:val="0"/>
    <w:pPr>
      <w:snapToGrid w:val="0"/>
      <w:spacing w:line="300" w:lineRule="auto"/>
    </w:pPr>
    <w:rPr>
      <w:rFonts w:eastAsia="宋体"/>
      <w:sz w:val="21"/>
      <w:szCs w:val="20"/>
    </w:rPr>
  </w:style>
  <w:style w:type="paragraph" w:customStyle="1" w:styleId="27">
    <w:name w:val=" Char"/>
    <w:basedOn w:val="1"/>
    <w:qFormat/>
    <w:uiPriority w:val="0"/>
    <w:pPr>
      <w:tabs>
        <w:tab w:val="left" w:pos="432"/>
      </w:tabs>
      <w:spacing w:before="156" w:beforeLines="50" w:after="156" w:afterLines="50"/>
      <w:ind w:left="432" w:hanging="432"/>
    </w:pPr>
    <w:rPr>
      <w:rFonts w:eastAsia="宋体"/>
      <w:sz w:val="21"/>
      <w:szCs w:val="20"/>
    </w:rPr>
  </w:style>
  <w:style w:type="character" w:customStyle="1" w:styleId="28">
    <w:name w:val="not([class*=suffix])"/>
    <w:basedOn w:val="14"/>
    <w:qFormat/>
    <w:uiPriority w:val="0"/>
    <w:rPr>
      <w:sz w:val="19"/>
      <w:szCs w:val="19"/>
    </w:rPr>
  </w:style>
  <w:style w:type="character" w:customStyle="1" w:styleId="29">
    <w:name w:val="not([class*=suffix])1"/>
    <w:basedOn w:val="14"/>
    <w:qFormat/>
    <w:uiPriority w:val="0"/>
  </w:style>
  <w:style w:type="character" w:customStyle="1" w:styleId="30">
    <w:name w:val="button4"/>
    <w:basedOn w:val="14"/>
    <w:qFormat/>
    <w:uiPriority w:val="0"/>
  </w:style>
  <w:style w:type="character" w:customStyle="1" w:styleId="31">
    <w:name w:val="tmpztreemove_arrow"/>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65"/>
    <customShpInfo spid="_x0000_s1066"/>
    <customShpInfo spid="_x0000_s1064"/>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Pages>
  <Words>40</Words>
  <Characters>228</Characters>
  <Lines>1</Lines>
  <Paragraphs>1</Paragraphs>
  <TotalTime>3</TotalTime>
  <ScaleCrop>false</ScaleCrop>
  <LinksUpToDate>false</LinksUpToDate>
  <CharactersWithSpaces>267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2021-05-25T20:05:00Z</dcterms:created>
  <dc:creator>wwwfox</dc:creator>
  <cp:lastModifiedBy>admin</cp:lastModifiedBy>
  <cp:lastPrinted>2013-12-26T00:58:00Z</cp:lastPrinted>
  <dcterms:modified xsi:type="dcterms:W3CDTF">2021-12-28T15:47:29Z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67F17BFA9CAB4E8286C6A01BED08105F</vt:lpwstr>
  </property>
</Properties>
</file>