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DE" w:rsidRPr="00EE26DE" w:rsidRDefault="00EE26DE" w:rsidP="00EE26DE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EE26D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</w:p>
    <w:p w:rsidR="00EE26DE" w:rsidRDefault="00EE26DE" w:rsidP="00EE26DE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Theme="majorEastAsia" w:cstheme="majorEastAsia"/>
          <w:bCs/>
          <w:color w:val="000000" w:themeColor="text1"/>
          <w:sz w:val="44"/>
          <w:szCs w:val="44"/>
        </w:rPr>
      </w:pPr>
    </w:p>
    <w:p w:rsidR="00EE26DE" w:rsidRPr="00EE26DE" w:rsidRDefault="00EE26DE" w:rsidP="00EE26DE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Theme="majorEastAsia" w:cstheme="majorEastAsia"/>
          <w:bCs/>
          <w:color w:val="000000" w:themeColor="text1"/>
          <w:sz w:val="44"/>
          <w:szCs w:val="44"/>
        </w:rPr>
      </w:pPr>
      <w:r w:rsidRPr="00EE26DE">
        <w:rPr>
          <w:rFonts w:ascii="方正小标宋简体" w:eastAsia="方正小标宋简体" w:hAnsiTheme="majorEastAsia" w:cstheme="majorEastAsia" w:hint="eastAsia"/>
          <w:bCs/>
          <w:color w:val="000000" w:themeColor="text1"/>
          <w:sz w:val="44"/>
          <w:szCs w:val="44"/>
        </w:rPr>
        <w:t>台州市新型冠状病毒感染的肺炎防治技术科研攻关项目立项名单</w:t>
      </w:r>
    </w:p>
    <w:p w:rsidR="00EE26DE" w:rsidRDefault="00EE26DE" w:rsidP="00EE26DE">
      <w:pPr>
        <w:pStyle w:val="a5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44"/>
          <w:szCs w:val="44"/>
        </w:rPr>
      </w:pPr>
    </w:p>
    <w:tbl>
      <w:tblPr>
        <w:tblStyle w:val="a6"/>
        <w:tblW w:w="9330" w:type="dxa"/>
        <w:tblInd w:w="-285" w:type="dxa"/>
        <w:tblLayout w:type="fixed"/>
        <w:tblLook w:val="04A0"/>
      </w:tblPr>
      <w:tblGrid>
        <w:gridCol w:w="810"/>
        <w:gridCol w:w="4620"/>
        <w:gridCol w:w="1410"/>
        <w:gridCol w:w="960"/>
        <w:gridCol w:w="1530"/>
      </w:tblGrid>
      <w:tr w:rsidR="00EE26DE" w:rsidTr="00EE26DE">
        <w:trPr>
          <w:trHeight w:val="634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EE26DE">
              <w:rPr>
                <w:rFonts w:ascii="黑体" w:eastAsia="黑体" w:hAnsi="黑体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EE26DE">
              <w:rPr>
                <w:rFonts w:ascii="黑体" w:eastAsia="黑体" w:hAnsi="黑体" w:cs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EE26DE">
              <w:rPr>
                <w:rFonts w:ascii="黑体" w:eastAsia="黑体" w:hAnsi="黑体" w:cs="仿宋"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EE26DE">
              <w:rPr>
                <w:rFonts w:ascii="黑体" w:eastAsia="黑体" w:hAnsi="黑体" w:cs="仿宋" w:hint="eastAsia"/>
                <w:bCs/>
                <w:sz w:val="28"/>
                <w:szCs w:val="28"/>
              </w:rPr>
              <w:t>区域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EE26DE">
              <w:rPr>
                <w:rFonts w:ascii="黑体" w:eastAsia="黑体" w:hAnsi="黑体" w:cs="仿宋" w:hint="eastAsia"/>
                <w:bCs/>
                <w:sz w:val="28"/>
                <w:szCs w:val="28"/>
              </w:rPr>
              <w:t>项目类别</w:t>
            </w:r>
          </w:p>
        </w:tc>
      </w:tr>
      <w:tr w:rsidR="00EE26DE" w:rsidTr="00EE26DE">
        <w:trPr>
          <w:trHeight w:val="466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b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瑞德西韦药物的研究开发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b/>
                <w:sz w:val="24"/>
              </w:rPr>
            </w:pPr>
            <w:r w:rsidRPr="00EE26DE">
              <w:rPr>
                <w:rFonts w:ascii="仿宋_GB2312" w:hint="eastAsia"/>
                <w:bCs/>
                <w:sz w:val="24"/>
              </w:rPr>
              <w:t>华海药业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b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临海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重点</w:t>
            </w:r>
          </w:p>
        </w:tc>
      </w:tr>
      <w:tr w:rsidR="00EE26DE" w:rsidTr="00EE26DE">
        <w:trPr>
          <w:trHeight w:val="466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广谱抗病毒药物法匹拉韦片的临床及产业化研究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bCs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海正药业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椒江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重点</w:t>
            </w:r>
          </w:p>
        </w:tc>
      </w:tr>
      <w:tr w:rsidR="00EE26DE" w:rsidTr="00EE26DE">
        <w:trPr>
          <w:trHeight w:val="466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治疗新型冠状病毒肺炎新药——达芦那韦原料药、制剂的研发与产业化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bCs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九洲药业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椒江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重点</w:t>
            </w:r>
          </w:p>
        </w:tc>
      </w:tr>
      <w:tr w:rsidR="00EE26DE" w:rsidTr="00EE26DE">
        <w:trPr>
          <w:trHeight w:val="766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b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新型冠状病毒感染肺炎特效新药- Remdesivir （瑞德西韦）研究与产业化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b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永太科技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b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临海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重点</w:t>
            </w:r>
          </w:p>
        </w:tc>
      </w:tr>
      <w:tr w:rsidR="00EE26DE" w:rsidTr="00EE26DE">
        <w:trPr>
          <w:trHeight w:val="766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治疗新型冠状病毒肺炎药物瑞德西韦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bCs/>
                <w:sz w:val="24"/>
              </w:rPr>
              <w:t>奥翔药业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临海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重点</w:t>
            </w:r>
          </w:p>
        </w:tc>
      </w:tr>
      <w:tr w:rsidR="00EE26DE" w:rsidTr="00EE26DE">
        <w:trPr>
          <w:trHeight w:val="824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新型冠状病（2019-nCoV）高灵敏检测试剂盒的研发和临床应用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台州恩泽医疗中心（集团）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市本级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重点</w:t>
            </w:r>
          </w:p>
        </w:tc>
      </w:tr>
      <w:tr w:rsidR="00EE26DE" w:rsidTr="00EE26DE">
        <w:trPr>
          <w:trHeight w:val="869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基于纳米孔测序技术的快速2019-nCoV新型冠状病毒检测技术研究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圣庭生物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黄岩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EE26DE" w:rsidTr="00EE26DE">
        <w:trPr>
          <w:trHeight w:val="534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 xml:space="preserve">抗新型冠状病毒药物研发 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瑞博制药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临海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EE26DE" w:rsidTr="00EE26DE">
        <w:trPr>
          <w:trHeight w:val="914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防治新型冠状病毒肺炎中药香芪片研究及其临床应用</w:t>
            </w:r>
          </w:p>
        </w:tc>
        <w:tc>
          <w:tcPr>
            <w:tcW w:w="1410" w:type="dxa"/>
            <w:vAlign w:val="center"/>
          </w:tcPr>
          <w:p w:rsid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景瑞康</w:t>
            </w:r>
          </w:p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科技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仙居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EE26DE" w:rsidTr="00EE26DE">
        <w:trPr>
          <w:trHeight w:val="539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 xml:space="preserve"> Igene 13 抗病毒中成药的产业化  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和和生物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高新区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EE26DE" w:rsidTr="00EE26DE">
        <w:trPr>
          <w:trHeight w:val="1269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11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新型肺炎病毒 2019-nCoV N 蛋白单克隆抗体的制备及免疫试纸条检测方法的建立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台州学院/普济生物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市本级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  <w:tr w:rsidR="00EE26DE" w:rsidTr="00EE26DE">
        <w:trPr>
          <w:trHeight w:val="909"/>
        </w:trPr>
        <w:tc>
          <w:tcPr>
            <w:tcW w:w="8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lastRenderedPageBreak/>
              <w:t>12</w:t>
            </w:r>
          </w:p>
        </w:tc>
        <w:tc>
          <w:tcPr>
            <w:tcW w:w="462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基于 CRISPR/Cas 的 新型冠状病毒快速分子诊断试剂盒开发</w:t>
            </w:r>
          </w:p>
        </w:tc>
        <w:tc>
          <w:tcPr>
            <w:tcW w:w="141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台州学院</w:t>
            </w:r>
          </w:p>
        </w:tc>
        <w:tc>
          <w:tcPr>
            <w:tcW w:w="96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EE26DE">
              <w:rPr>
                <w:rFonts w:ascii="仿宋_GB2312" w:hint="eastAsia"/>
                <w:sz w:val="24"/>
              </w:rPr>
              <w:t>市本级</w:t>
            </w:r>
          </w:p>
        </w:tc>
        <w:tc>
          <w:tcPr>
            <w:tcW w:w="1530" w:type="dxa"/>
            <w:vAlign w:val="center"/>
          </w:tcPr>
          <w:p w:rsidR="00EE26DE" w:rsidRPr="00EE26DE" w:rsidRDefault="00EE26DE" w:rsidP="00EE26D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</w:tr>
    </w:tbl>
    <w:p w:rsidR="00EE26DE" w:rsidRDefault="00EE26DE" w:rsidP="00421B76">
      <w:pPr>
        <w:pStyle w:val="a5"/>
        <w:spacing w:line="570" w:lineRule="atLeast"/>
        <w:rPr>
          <w:color w:val="000000" w:themeColor="text1"/>
        </w:rPr>
      </w:pPr>
    </w:p>
    <w:sectPr w:rsidR="00EE26DE" w:rsidSect="00F00BC4">
      <w:footerReference w:type="even" r:id="rId6"/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E7" w:rsidRDefault="005F61E7" w:rsidP="00B636D3">
      <w:r>
        <w:separator/>
      </w:r>
    </w:p>
  </w:endnote>
  <w:endnote w:type="continuationSeparator" w:id="1">
    <w:p w:rsidR="005F61E7" w:rsidRDefault="005F61E7" w:rsidP="00B6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517"/>
      <w:docPartObj>
        <w:docPartGallery w:val="Page Numbers (Bottom of Page)"/>
        <w:docPartUnique/>
      </w:docPartObj>
    </w:sdtPr>
    <w:sdtContent>
      <w:p w:rsidR="00F00BC4" w:rsidRDefault="00F00BC4" w:rsidP="00F00BC4">
        <w:pPr>
          <w:pStyle w:val="a4"/>
        </w:pPr>
        <w:r w:rsidRPr="00F00BC4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45005" w:rsidRPr="00F00BC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00BC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45005" w:rsidRPr="00F00BC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21B76" w:rsidRPr="00421B7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845005" w:rsidRPr="00F00BC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00BC4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453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00BC4" w:rsidRPr="00F00BC4" w:rsidRDefault="00F00BC4" w:rsidP="00F00BC4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00BC4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45005" w:rsidRPr="00F00BC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00BC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45005" w:rsidRPr="00F00BC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21B76" w:rsidRPr="00421B7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845005" w:rsidRPr="00F00BC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00BC4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E7" w:rsidRDefault="005F61E7" w:rsidP="00B636D3">
      <w:r>
        <w:separator/>
      </w:r>
    </w:p>
  </w:footnote>
  <w:footnote w:type="continuationSeparator" w:id="1">
    <w:p w:rsidR="005F61E7" w:rsidRDefault="005F61E7" w:rsidP="00B63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56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D3"/>
    <w:rsid w:val="00055AE0"/>
    <w:rsid w:val="00081D6C"/>
    <w:rsid w:val="000B1756"/>
    <w:rsid w:val="000C3CAB"/>
    <w:rsid w:val="000D126B"/>
    <w:rsid w:val="000D3920"/>
    <w:rsid w:val="000D7523"/>
    <w:rsid w:val="00123BCF"/>
    <w:rsid w:val="0016660F"/>
    <w:rsid w:val="0017195A"/>
    <w:rsid w:val="00177BC1"/>
    <w:rsid w:val="00190039"/>
    <w:rsid w:val="001C28BD"/>
    <w:rsid w:val="001C4011"/>
    <w:rsid w:val="001E3BBB"/>
    <w:rsid w:val="001F0185"/>
    <w:rsid w:val="001F3C2A"/>
    <w:rsid w:val="00203780"/>
    <w:rsid w:val="00212734"/>
    <w:rsid w:val="002410B9"/>
    <w:rsid w:val="00251BF2"/>
    <w:rsid w:val="002D2695"/>
    <w:rsid w:val="002E1BFF"/>
    <w:rsid w:val="0039140C"/>
    <w:rsid w:val="003A1DB2"/>
    <w:rsid w:val="00421B76"/>
    <w:rsid w:val="00427730"/>
    <w:rsid w:val="00451125"/>
    <w:rsid w:val="00452DE7"/>
    <w:rsid w:val="00495F84"/>
    <w:rsid w:val="004A23C2"/>
    <w:rsid w:val="004B4763"/>
    <w:rsid w:val="004C47FE"/>
    <w:rsid w:val="00514B1C"/>
    <w:rsid w:val="005205A2"/>
    <w:rsid w:val="0054773E"/>
    <w:rsid w:val="00575304"/>
    <w:rsid w:val="00594DED"/>
    <w:rsid w:val="005A250B"/>
    <w:rsid w:val="005A7064"/>
    <w:rsid w:val="005D3804"/>
    <w:rsid w:val="005D7A73"/>
    <w:rsid w:val="005E056C"/>
    <w:rsid w:val="005F61E7"/>
    <w:rsid w:val="00625FDA"/>
    <w:rsid w:val="006F2402"/>
    <w:rsid w:val="006F54E3"/>
    <w:rsid w:val="006F66DD"/>
    <w:rsid w:val="00746146"/>
    <w:rsid w:val="00754075"/>
    <w:rsid w:val="00790473"/>
    <w:rsid w:val="007A5FAE"/>
    <w:rsid w:val="007A7C4E"/>
    <w:rsid w:val="007A7CAA"/>
    <w:rsid w:val="007B261C"/>
    <w:rsid w:val="007B3B3C"/>
    <w:rsid w:val="007E0443"/>
    <w:rsid w:val="007F2B84"/>
    <w:rsid w:val="00804A1E"/>
    <w:rsid w:val="00816857"/>
    <w:rsid w:val="008407D2"/>
    <w:rsid w:val="00845005"/>
    <w:rsid w:val="00873614"/>
    <w:rsid w:val="0087776D"/>
    <w:rsid w:val="0089781F"/>
    <w:rsid w:val="008C16F7"/>
    <w:rsid w:val="0094049E"/>
    <w:rsid w:val="00947387"/>
    <w:rsid w:val="00952C4A"/>
    <w:rsid w:val="00952D5E"/>
    <w:rsid w:val="0097754D"/>
    <w:rsid w:val="009B03B2"/>
    <w:rsid w:val="009B2F54"/>
    <w:rsid w:val="009C3979"/>
    <w:rsid w:val="00A031F2"/>
    <w:rsid w:val="00A125BF"/>
    <w:rsid w:val="00A21C19"/>
    <w:rsid w:val="00A36937"/>
    <w:rsid w:val="00A5462F"/>
    <w:rsid w:val="00A62D1A"/>
    <w:rsid w:val="00AC2B01"/>
    <w:rsid w:val="00AD3EB7"/>
    <w:rsid w:val="00AF30AF"/>
    <w:rsid w:val="00B0750B"/>
    <w:rsid w:val="00B24D29"/>
    <w:rsid w:val="00B549D8"/>
    <w:rsid w:val="00B636D3"/>
    <w:rsid w:val="00B954D9"/>
    <w:rsid w:val="00BE528E"/>
    <w:rsid w:val="00C02115"/>
    <w:rsid w:val="00C07D1E"/>
    <w:rsid w:val="00C14BEC"/>
    <w:rsid w:val="00C271E0"/>
    <w:rsid w:val="00C32EC6"/>
    <w:rsid w:val="00C61A49"/>
    <w:rsid w:val="00C66CBF"/>
    <w:rsid w:val="00D01BF9"/>
    <w:rsid w:val="00D3728C"/>
    <w:rsid w:val="00D41C97"/>
    <w:rsid w:val="00D95D60"/>
    <w:rsid w:val="00DA1787"/>
    <w:rsid w:val="00DA4511"/>
    <w:rsid w:val="00DB6468"/>
    <w:rsid w:val="00DF4F22"/>
    <w:rsid w:val="00E13220"/>
    <w:rsid w:val="00E722B9"/>
    <w:rsid w:val="00E915CC"/>
    <w:rsid w:val="00EA0DD4"/>
    <w:rsid w:val="00EE26DE"/>
    <w:rsid w:val="00EE57BB"/>
    <w:rsid w:val="00F00BC4"/>
    <w:rsid w:val="00F219C0"/>
    <w:rsid w:val="00F47ADA"/>
    <w:rsid w:val="00F7479D"/>
    <w:rsid w:val="00FC2090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D3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:lang w:bidi="ar-EG"/>
    </w:rPr>
  </w:style>
  <w:style w:type="paragraph" w:styleId="1">
    <w:name w:val="heading 1"/>
    <w:basedOn w:val="a"/>
    <w:next w:val="a"/>
    <w:link w:val="1Char"/>
    <w:qFormat/>
    <w:rsid w:val="00575304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6D3"/>
    <w:rPr>
      <w:sz w:val="18"/>
      <w:szCs w:val="18"/>
    </w:rPr>
  </w:style>
  <w:style w:type="paragraph" w:styleId="a5">
    <w:name w:val="Normal (Web)"/>
    <w:basedOn w:val="a"/>
    <w:unhideWhenUsed/>
    <w:rsid w:val="00451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lang w:bidi="ar-SA"/>
    </w:rPr>
  </w:style>
  <w:style w:type="character" w:customStyle="1" w:styleId="1Char">
    <w:name w:val="标题 1 Char"/>
    <w:basedOn w:val="a0"/>
    <w:link w:val="1"/>
    <w:rsid w:val="00575304"/>
    <w:rPr>
      <w:rFonts w:ascii="宋体" w:eastAsia="宋体" w:hAnsi="宋体" w:cs="Times New Roman"/>
      <w:b/>
      <w:kern w:val="44"/>
      <w:sz w:val="48"/>
      <w:szCs w:val="48"/>
    </w:rPr>
  </w:style>
  <w:style w:type="table" w:styleId="a6">
    <w:name w:val="Table Grid"/>
    <w:basedOn w:val="a1"/>
    <w:qFormat/>
    <w:rsid w:val="00F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410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10B9"/>
    <w:rPr>
      <w:rFonts w:ascii="Times New Roman" w:eastAsia="仿宋_GB2312" w:hAnsi="Times New Roman" w:cs="Times New Roman"/>
      <w:sz w:val="18"/>
      <w:szCs w:val="18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wqf64</cp:lastModifiedBy>
  <cp:revision>2</cp:revision>
  <cp:lastPrinted>2020-02-13T08:08:00Z</cp:lastPrinted>
  <dcterms:created xsi:type="dcterms:W3CDTF">2020-02-17T02:08:00Z</dcterms:created>
  <dcterms:modified xsi:type="dcterms:W3CDTF">2020-02-17T02:08:00Z</dcterms:modified>
</cp:coreProperties>
</file>