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16" w:firstLineChars="100"/>
        <w:jc w:val="right"/>
      </w:pPr>
      <w:bookmarkStart w:id="5" w:name="_GoBack"/>
      <w:bookmarkEnd w:id="5"/>
      <w:r>
        <w:t>ZJJC01</w:t>
      </w:r>
      <w:r>
        <w:rPr>
          <w:rFonts w:hint="eastAsia" w:ascii="仿宋_GB2312" w:hAnsi="仿宋_GB2312" w:eastAsia="仿宋_GB2312" w:cs="仿宋_GB2312"/>
        </w:rPr>
        <w:t>-</w:t>
      </w:r>
      <w:r>
        <w:t>2022</w:t>
      </w:r>
      <w:r>
        <w:rPr>
          <w:rFonts w:hint="eastAsia" w:ascii="仿宋_GB2312" w:hAnsi="仿宋_GB2312" w:eastAsia="仿宋_GB2312" w:cs="仿宋_GB2312"/>
        </w:rPr>
        <w:t>-</w:t>
      </w:r>
      <w:r>
        <w:t>0005</w:t>
      </w:r>
    </w:p>
    <w:p>
      <w:pPr>
        <w:spacing w:line="610" w:lineRule="exact"/>
        <w:ind w:firstLine="316" w:firstLineChars="100"/>
      </w:pPr>
    </w:p>
    <w:p>
      <w:pPr>
        <w:spacing w:line="610" w:lineRule="exact"/>
        <w:ind w:firstLine="316" w:firstLineChars="100"/>
      </w:pPr>
    </w:p>
    <w:p>
      <w:pPr>
        <w:jc w:val="center"/>
        <w:rPr>
          <w:rFonts w:ascii="方正小标宋简体" w:eastAsia="方正小标宋简体"/>
          <w:color w:val="FF0000"/>
          <w:sz w:val="84"/>
        </w:rPr>
      </w:pPr>
      <w:r>
        <w:rPr>
          <w:rFonts w:hint="eastAsia" w:ascii="方正小标宋简体" w:eastAsia="方正小标宋简体"/>
          <w:color w:val="FF0000"/>
          <w:spacing w:val="10"/>
          <w:w w:val="75"/>
          <w:sz w:val="90"/>
        </w:rPr>
        <w:t>台州市人民政府办公室文</w:t>
      </w:r>
      <w:r>
        <w:rPr>
          <w:rFonts w:hint="eastAsia" w:ascii="方正小标宋简体" w:eastAsia="方正小标宋简体"/>
          <w:color w:val="FF0000"/>
          <w:w w:val="75"/>
          <w:sz w:val="90"/>
        </w:rPr>
        <w:t>件</w:t>
      </w:r>
    </w:p>
    <w:p>
      <w:pPr>
        <w:spacing w:afterLines="20"/>
      </w:pPr>
    </w:p>
    <w:p>
      <w:pPr>
        <w:tabs>
          <w:tab w:val="left" w:pos="2528"/>
          <w:tab w:val="left" w:pos="2844"/>
          <w:tab w:val="left" w:pos="7584"/>
          <w:tab w:val="left" w:pos="8374"/>
          <w:tab w:val="left" w:pos="8532"/>
        </w:tabs>
        <w:jc w:val="center"/>
      </w:pPr>
      <w:r>
        <w:rPr>
          <w:rFonts w:hint="eastAsia"/>
        </w:rPr>
        <w:t>台政办发〔</w:t>
      </w:r>
      <w:r>
        <w:t>20</w:t>
      </w:r>
      <w:r>
        <w:rPr>
          <w:rFonts w:hint="eastAsia"/>
        </w:rPr>
        <w:t>22〕</w:t>
      </w:r>
      <w:r>
        <w:rPr>
          <w:rFonts w:hint="eastAsia"/>
          <w:lang w:val="en-US" w:eastAsia="zh-CN"/>
        </w:rPr>
        <w:t>16</w:t>
      </w:r>
      <w:r>
        <w:rPr>
          <w:rFonts w:hint="eastAsia"/>
        </w:rPr>
        <w:t>号</w:t>
      </w:r>
    </w:p>
    <w:p>
      <w:pPr>
        <w:spacing w:line="600" w:lineRule="exact"/>
      </w:pPr>
      <w:r>
        <w:rPr>
          <w:sz w:val="20"/>
        </w:rPr>
        <w:pict>
          <v:line id="_x0000_s1030" o:spid="_x0000_s1030" o:spt="20" style="position:absolute;left:0pt;margin-left:0pt;margin-top:2.15pt;height:0pt;width:445.05pt;z-index:251659264;mso-width-relative:page;mso-height-relative:page;" stroked="t" coordsize="21600,21600">
            <v:path arrowok="t"/>
            <v:fill focussize="0,0"/>
            <v:stroke weight="2.25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600" w:lineRule="exact"/>
        <w:ind w:left="1240" w:leftChars="100" w:hanging="924" w:hangingChars="300"/>
        <w:jc w:val="left"/>
        <w:textAlignment w:val="auto"/>
        <w:rPr>
          <w:spacing w:val="-4"/>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台州市人民政府办公室关于印发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ascii="方正小标宋简体" w:eastAsia="方正小标宋简体"/>
          <w:sz w:val="44"/>
          <w:szCs w:val="44"/>
        </w:rPr>
        <w:t>台州市服务业纾困帮扶政策50条</w:t>
      </w:r>
      <w:r>
        <w:rPr>
          <w:rFonts w:hint="eastAsia" w:ascii="方正小标宋简体" w:eastAsia="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szCs w:val="32"/>
        </w:rPr>
      </w:pPr>
      <w:r>
        <w:rPr>
          <w:rFonts w:hint="eastAsia" w:ascii="仿宋_GB2312"/>
          <w:szCs w:val="32"/>
        </w:rPr>
        <w:t>各县（市、区）人民政府，市政府直属各单位：</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_GB2312"/>
          <w:szCs w:val="32"/>
        </w:rPr>
      </w:pPr>
      <w:r>
        <w:rPr>
          <w:rFonts w:hint="eastAsia" w:ascii="仿宋_GB2312"/>
          <w:szCs w:val="32"/>
        </w:rPr>
        <w:t>《</w:t>
      </w:r>
      <w:r>
        <w:rPr>
          <w:rFonts w:ascii="仿宋_GB2312"/>
          <w:szCs w:val="32"/>
        </w:rPr>
        <w:t>台州市服务业纾困帮扶政</w:t>
      </w:r>
      <w:r>
        <w:rPr>
          <w:szCs w:val="32"/>
        </w:rPr>
        <w:t>策50条》</w:t>
      </w:r>
      <w:r>
        <w:rPr>
          <w:rFonts w:hint="eastAsia" w:ascii="仿宋_GB2312"/>
          <w:szCs w:val="32"/>
        </w:rPr>
        <w:t>已经市政府同意，现印发给你们，请结合实际，认真贯彻落实。</w:t>
      </w: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tabs>
          <w:tab w:val="left" w:pos="2528"/>
        </w:tabs>
        <w:kinsoku/>
        <w:wordWrap/>
        <w:overflowPunct/>
        <w:topLinePunct w:val="0"/>
        <w:autoSpaceDE/>
        <w:autoSpaceDN/>
        <w:bidi w:val="0"/>
        <w:adjustRightInd/>
        <w:snapToGrid/>
        <w:spacing w:line="600" w:lineRule="exact"/>
        <w:ind w:firstLine="4740" w:firstLineChars="1500"/>
        <w:textAlignment w:val="auto"/>
      </w:pPr>
      <w:r>
        <w:rPr>
          <w:rFonts w:hint="eastAsia"/>
        </w:rPr>
        <w:t>台州市人民政府办公室</w:t>
      </w:r>
    </w:p>
    <w:p>
      <w:pPr>
        <w:keepNext w:val="0"/>
        <w:keepLines w:val="0"/>
        <w:pageBreakBefore w:val="0"/>
        <w:widowControl w:val="0"/>
        <w:tabs>
          <w:tab w:val="left" w:pos="2528"/>
        </w:tabs>
        <w:kinsoku/>
        <w:wordWrap/>
        <w:overflowPunct/>
        <w:topLinePunct w:val="0"/>
        <w:autoSpaceDE/>
        <w:autoSpaceDN/>
        <w:bidi w:val="0"/>
        <w:adjustRightInd/>
        <w:snapToGrid/>
        <w:spacing w:line="600" w:lineRule="exact"/>
        <w:ind w:right="1264" w:rightChars="400"/>
        <w:jc w:val="right"/>
        <w:textAlignment w:val="auto"/>
      </w:pPr>
      <w:r>
        <w:rPr>
          <w:rFonts w:hint="eastAsia"/>
        </w:rPr>
        <w:t>2022年4月</w:t>
      </w:r>
      <w:r>
        <w:rPr>
          <w:rFonts w:hint="eastAsia"/>
          <w:lang w:val="en-US" w:eastAsia="zh-CN"/>
        </w:rPr>
        <w:t>19</w:t>
      </w:r>
      <w:r>
        <w:rPr>
          <w:rFonts w:hint="eastAsia"/>
        </w:rPr>
        <w:t>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ascii="仿宋_GB2312" w:hAnsi="宋体" w:cs="宋体"/>
          <w:color w:val="000000"/>
          <w:kern w:val="0"/>
        </w:rPr>
      </w:pPr>
      <w:r>
        <w:rPr>
          <w:rFonts w:hint="eastAsia" w:ascii="仿宋_GB2312" w:hAnsi="宋体" w:cs="宋体"/>
          <w:color w:val="000000"/>
          <w:kern w:val="0"/>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1240" w:leftChars="100" w:hanging="924" w:hangingChars="300"/>
        <w:jc w:val="left"/>
        <w:textAlignment w:val="auto"/>
        <w:rPr>
          <w:spacing w:val="-4"/>
          <w:szCs w:val="32"/>
        </w:rPr>
        <w:sectPr>
          <w:footerReference r:id="rId3" w:type="default"/>
          <w:footerReference r:id="rId4" w:type="even"/>
          <w:pgSz w:w="11907" w:h="16840"/>
          <w:pgMar w:top="1871" w:right="1474" w:bottom="1758" w:left="1588" w:header="851" w:footer="1134" w:gutter="0"/>
          <w:cols w:space="720" w:num="1"/>
          <w:docGrid w:type="linesAndChars" w:linePitch="600" w:charSpace="-842"/>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color w:val="000000"/>
          <w:sz w:val="44"/>
          <w:szCs w:val="44"/>
        </w:rPr>
      </w:pPr>
      <w:r>
        <w:rPr>
          <w:rFonts w:eastAsia="方正小标宋简体"/>
          <w:color w:val="000000"/>
          <w:sz w:val="44"/>
          <w:szCs w:val="44"/>
        </w:rPr>
        <w:t>台州市服务业纾困帮扶政策50条</w:t>
      </w:r>
    </w:p>
    <w:p>
      <w:pPr>
        <w:keepNext w:val="0"/>
        <w:keepLines w:val="0"/>
        <w:pageBreakBefore w:val="0"/>
        <w:widowControl w:val="0"/>
        <w:kinsoku/>
        <w:wordWrap/>
        <w:overflowPunct/>
        <w:topLinePunct w:val="0"/>
        <w:autoSpaceDE/>
        <w:autoSpaceDN/>
        <w:bidi w:val="0"/>
        <w:spacing w:line="600" w:lineRule="exact"/>
        <w:ind w:firstLine="616" w:firstLineChars="200"/>
        <w:jc w:val="both"/>
        <w:textAlignment w:val="auto"/>
        <w:rPr>
          <w:rFonts w:eastAsia="方正小标宋简体"/>
          <w:color w:val="000000"/>
          <w:spacing w:val="-20"/>
          <w:w w:val="80"/>
          <w:sz w:val="44"/>
          <w:szCs w:val="44"/>
        </w:rPr>
      </w:pP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rPr>
      </w:pPr>
      <w:r>
        <w:rPr>
          <w:color w:val="000000"/>
        </w:rPr>
        <w:t>为深入贯彻党中央、国务院决策部署和省委、省政府工作要求，更大力度帮助服务业领域困难行业渡过难关、</w:t>
      </w:r>
      <w:r>
        <w:rPr>
          <w:rFonts w:hint="eastAsia"/>
          <w:color w:val="000000"/>
        </w:rPr>
        <w:t>帮扶</w:t>
      </w:r>
      <w:r>
        <w:rPr>
          <w:color w:val="000000"/>
        </w:rPr>
        <w:t>发展，根据《</w:t>
      </w:r>
      <w:r>
        <w:rPr>
          <w:rFonts w:hint="eastAsia"/>
          <w:color w:val="000000"/>
        </w:rPr>
        <w:t>国家发展改革委等部门印发&lt;</w:t>
      </w:r>
      <w:r>
        <w:rPr>
          <w:color w:val="000000"/>
        </w:rPr>
        <w:t>关于促进服务业领域困难行业恢复发展的若干政策</w:t>
      </w:r>
      <w:r>
        <w:rPr>
          <w:rFonts w:hint="eastAsia"/>
          <w:color w:val="000000"/>
        </w:rPr>
        <w:t>&gt;的通知</w:t>
      </w:r>
      <w:r>
        <w:rPr>
          <w:color w:val="000000"/>
        </w:rPr>
        <w:t>》（发改财金〔2022〕271号）、《</w:t>
      </w:r>
      <w:r>
        <w:rPr>
          <w:rFonts w:hint="eastAsia"/>
          <w:color w:val="000000"/>
        </w:rPr>
        <w:t>浙江省发展和改革委员会等14部门关于联合印发&lt;</w:t>
      </w:r>
      <w:r>
        <w:rPr>
          <w:color w:val="000000"/>
        </w:rPr>
        <w:t>浙江省关于促进服务业领域困难行业恢复发展的政策意见</w:t>
      </w:r>
      <w:r>
        <w:rPr>
          <w:rFonts w:hint="eastAsia"/>
          <w:color w:val="000000"/>
        </w:rPr>
        <w:t>&gt;的通知</w:t>
      </w:r>
      <w:r>
        <w:rPr>
          <w:color w:val="000000"/>
        </w:rPr>
        <w:t>》（浙发改服务〔2022〕85号），结合我市实际，现提出以下纾困帮扶政策。</w:t>
      </w:r>
    </w:p>
    <w:p>
      <w:pPr>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rFonts w:eastAsia="黑体"/>
          <w:bCs/>
          <w:color w:val="000000"/>
          <w:kern w:val="44"/>
        </w:rPr>
      </w:pPr>
      <w:r>
        <w:rPr>
          <w:rFonts w:eastAsia="黑体"/>
          <w:bCs/>
          <w:color w:val="000000"/>
          <w:kern w:val="44"/>
        </w:rPr>
        <w:t>一、普惠性纾困帮扶政策</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highlight w:val="lightGray"/>
        </w:rPr>
      </w:pPr>
      <w:r>
        <w:rPr>
          <w:color w:val="000000"/>
        </w:rPr>
        <w:t>1.</w:t>
      </w:r>
      <w:r>
        <w:rPr>
          <w:rFonts w:hint="eastAsia"/>
          <w:color w:val="000000"/>
        </w:rPr>
        <w:t xml:space="preserve"> </w:t>
      </w:r>
      <w:r>
        <w:rPr>
          <w:color w:val="000000"/>
        </w:rPr>
        <w:t>延续服务业增值税加计抵减政策。对生产、生活性服务业纳税人当期可抵扣进项税额继续分别按10%和15%加计抵减应纳税额。（责任单位：市税务局</w:t>
      </w:r>
      <w:r>
        <w:rPr>
          <w:rFonts w:hint="eastAsia"/>
          <w:color w:val="000000"/>
        </w:rPr>
        <w:t>，各县&lt;市、区&gt;政府、台州湾新区管委会。以下工作均需各县&lt;市、区&gt;政府、台州湾新区管委会落实，不再列出</w:t>
      </w:r>
      <w:r>
        <w:rPr>
          <w:color w:val="000000"/>
        </w:rPr>
        <w:t>）</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rPr>
      </w:pPr>
      <w:r>
        <w:rPr>
          <w:color w:val="000000"/>
        </w:rPr>
        <w:t>2.</w:t>
      </w:r>
      <w:r>
        <w:rPr>
          <w:rFonts w:hint="eastAsia"/>
          <w:color w:val="000000"/>
        </w:rPr>
        <w:t xml:space="preserve"> </w:t>
      </w:r>
      <w:r>
        <w:rPr>
          <w:color w:val="000000"/>
        </w:rPr>
        <w:t>继续实施小微企业普惠性税收优惠政策。增值税小规模纳税人月销售额15万元（含本数）以下免税。</w:t>
      </w:r>
      <w:r>
        <w:rPr>
          <w:rFonts w:hint="eastAsia"/>
          <w:color w:val="000000"/>
        </w:rPr>
        <w:t>符合条件的服务业市场主体可以享受。</w:t>
      </w:r>
      <w:r>
        <w:rPr>
          <w:color w:val="000000"/>
        </w:rPr>
        <w:t>（责任单位：市税务局）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rPr>
      </w:pPr>
      <w:r>
        <w:rPr>
          <w:color w:val="000000"/>
        </w:rPr>
        <w:t>3.</w:t>
      </w:r>
      <w:r>
        <w:rPr>
          <w:rFonts w:hint="eastAsia"/>
          <w:color w:val="000000"/>
        </w:rPr>
        <w:t xml:space="preserve"> </w:t>
      </w:r>
      <w:r>
        <w:rPr>
          <w:color w:val="000000"/>
        </w:rPr>
        <w:t>小规模纳税人阶段性免征增值税。自2022年4月1日至2022年12月31日，增值税小规模纳税人适用3%征收率的应税销售收入，免征增值税；适用3%预征率的预缴增值税项目，暂停预缴增值税。</w:t>
      </w:r>
      <w:r>
        <w:rPr>
          <w:rFonts w:hint="eastAsia"/>
          <w:color w:val="000000"/>
        </w:rPr>
        <w:t>符合条件的服务业市场主体可以享受。</w:t>
      </w:r>
      <w:r>
        <w:rPr>
          <w:color w:val="000000"/>
        </w:rPr>
        <w:t>（责任单位：市税务局）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rPr>
      </w:pPr>
      <w:r>
        <w:rPr>
          <w:color w:val="000000"/>
        </w:rPr>
        <w:t>4.</w:t>
      </w:r>
      <w:r>
        <w:rPr>
          <w:rFonts w:hint="eastAsia"/>
          <w:color w:val="000000"/>
        </w:rPr>
        <w:t xml:space="preserve"> </w:t>
      </w:r>
      <w:r>
        <w:rPr>
          <w:color w:val="000000"/>
        </w:rPr>
        <w:t>进一步加大增值税留抵退税政策力度。向符合条件的小微企业以及科学研究和技术服务业等行业企业大规模退还增值税留抵税额。</w:t>
      </w:r>
      <w:r>
        <w:rPr>
          <w:rFonts w:hint="eastAsia"/>
          <w:color w:val="000000"/>
        </w:rPr>
        <w:t>符合条件的服务业市场主体可以享受。</w:t>
      </w:r>
      <w:r>
        <w:rPr>
          <w:color w:val="000000"/>
        </w:rPr>
        <w:t>（责任单位：市税务局）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rPr>
      </w:pPr>
      <w:bookmarkStart w:id="0" w:name="_Hlk97748431"/>
      <w:r>
        <w:rPr>
          <w:color w:val="000000"/>
        </w:rPr>
        <w:t>5.</w:t>
      </w:r>
      <w:r>
        <w:rPr>
          <w:rFonts w:hint="eastAsia"/>
          <w:color w:val="000000"/>
        </w:rPr>
        <w:t xml:space="preserve"> </w:t>
      </w:r>
      <w:r>
        <w:rPr>
          <w:color w:val="000000"/>
        </w:rPr>
        <w:t>扩</w:t>
      </w:r>
      <w:r>
        <w:rPr>
          <w:rFonts w:hint="eastAsia" w:ascii="仿宋_GB2312"/>
          <w:color w:val="000000"/>
        </w:rPr>
        <w:t>大“六税两费”适用范围。对增值税小规模纳税人、小型微利企业和个体工商</w:t>
      </w:r>
      <w:r>
        <w:rPr>
          <w:color w:val="000000"/>
        </w:rPr>
        <w:t>户，按照50%幅度减征资源税、城市维护建设税、房产税、城镇土地使用税、印花税（不含证券交易印花税）、耕地占用税和教育费附加、地方教育附加。执行时间至2024年12月31日。</w:t>
      </w:r>
      <w:bookmarkEnd w:id="0"/>
      <w:r>
        <w:rPr>
          <w:rFonts w:hint="eastAsia"/>
          <w:color w:val="000000"/>
        </w:rPr>
        <w:t>符合条件的服务业市场主体可以享受。</w:t>
      </w:r>
      <w:r>
        <w:rPr>
          <w:color w:val="000000"/>
        </w:rPr>
        <w:t>（责任单位：市税务局、市财政局）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rPr>
      </w:pPr>
      <w:r>
        <w:rPr>
          <w:color w:val="000000"/>
        </w:rPr>
        <w:t>6.</w:t>
      </w:r>
      <w:r>
        <w:rPr>
          <w:rFonts w:hint="eastAsia"/>
          <w:color w:val="000000"/>
        </w:rPr>
        <w:t xml:space="preserve"> </w:t>
      </w:r>
      <w:r>
        <w:rPr>
          <w:color w:val="000000"/>
        </w:rPr>
        <w:t>加大小型微利企业所得税优惠力度。对小型微利企业年应纳税所得额超过100万元但不超过300万元的部分，减按25%计入应纳税所得额，按20%的税率缴纳所得税。执行时间至2024年12月31日。</w:t>
      </w:r>
      <w:r>
        <w:rPr>
          <w:rFonts w:hint="eastAsia"/>
          <w:color w:val="000000"/>
        </w:rPr>
        <w:t>符合条件的服务业市场主体可以享受。</w:t>
      </w:r>
      <w:r>
        <w:rPr>
          <w:color w:val="000000"/>
        </w:rPr>
        <w:t>（责任单位：市税务局）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rPr>
      </w:pPr>
      <w:r>
        <w:rPr>
          <w:color w:val="000000"/>
        </w:rPr>
        <w:t>7.</w:t>
      </w:r>
      <w:r>
        <w:rPr>
          <w:rFonts w:hint="eastAsia"/>
          <w:color w:val="000000"/>
        </w:rPr>
        <w:t xml:space="preserve"> </w:t>
      </w:r>
      <w:r>
        <w:rPr>
          <w:color w:val="000000"/>
        </w:rPr>
        <w:t>对服务业市场主体2022年缴纳房产税、城镇土地使用税确有困难的，鼓励各县（市、区）根据本地实际实施困难减免，依据其申请酌情给予减免房产税，并按规定实施城镇土地使用税差别化减免政策。（责任单位：市税务局、市财政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highlight w:val="lightGray"/>
        </w:rPr>
      </w:pPr>
      <w:r>
        <w:rPr>
          <w:color w:val="000000"/>
        </w:rPr>
        <w:t>8.</w:t>
      </w:r>
      <w:r>
        <w:rPr>
          <w:rFonts w:hint="eastAsia"/>
          <w:color w:val="000000"/>
        </w:rPr>
        <w:t xml:space="preserve"> </w:t>
      </w:r>
      <w:r>
        <w:rPr>
          <w:color w:val="000000"/>
        </w:rPr>
        <w:t>加大中小微企业设备器具税前扣除力度。中小微企业2022年度内新购置的单位价值500万元以上的设备器具，最低折旧年限为3年的，单位价值的100%可在当年一次性税前扣除；最低折旧年限为4年、5年、10年的，单位价值的50%可在当年一次性税前扣除，其余50%按规定在剩余年度计算折旧进行税前扣除</w:t>
      </w:r>
      <w:r>
        <w:rPr>
          <w:rFonts w:hint="eastAsia"/>
          <w:color w:val="000000"/>
        </w:rPr>
        <w:t>。符合条件的服务业市场主体可以享受。</w:t>
      </w:r>
      <w:r>
        <w:rPr>
          <w:color w:val="000000"/>
        </w:rPr>
        <w:t>（责任单位：市税务局）</w:t>
      </w:r>
    </w:p>
    <w:p>
      <w:pPr>
        <w:pStyle w:val="3"/>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rFonts w:ascii="Times New Roman" w:hAnsi="Times New Roman" w:eastAsia="仿宋_GB2312"/>
          <w:color w:val="000000"/>
          <w:spacing w:val="6"/>
          <w:sz w:val="32"/>
          <w:szCs w:val="32"/>
          <w:highlight w:val="lightGray"/>
        </w:rPr>
      </w:pP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企业职工医疗保险费缓缴。对受新冠疫情影响，确有困难暂时无力缴纳职工基本医疗保险费用的服务业企业，可依规定申请缓缴。具体办法由市医保局会同市税务局、市财政局制定。（责任单位：市医保局、市税务局、市财政局）</w:t>
      </w:r>
    </w:p>
    <w:p>
      <w:pPr>
        <w:pStyle w:val="3"/>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rFonts w:ascii="Times New Roman" w:hAnsi="Times New Roman" w:eastAsia="仿宋_GB2312"/>
          <w:color w:val="000000"/>
          <w:sz w:val="32"/>
          <w:szCs w:val="32"/>
          <w:highlight w:val="lightGray"/>
        </w:rPr>
      </w:pP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住房公积金缓缴。对受疫情影响、缴存住房公积金确有困难的服务业企业等用人单位，可依法申请缓缴住房公积金。缓缴期限不超过一年。（责任单位：市住房公积金中心）</w:t>
      </w:r>
    </w:p>
    <w:p>
      <w:pPr>
        <w:pStyle w:val="3"/>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rFonts w:ascii="Times New Roman" w:hAnsi="Times New Roman" w:eastAsia="仿宋_GB2312"/>
          <w:color w:val="000000"/>
          <w:sz w:val="32"/>
          <w:szCs w:val="32"/>
          <w:highlight w:val="lightGray"/>
        </w:rPr>
      </w:pP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水、气费缓缴。</w:t>
      </w:r>
      <w:r>
        <w:rPr>
          <w:rFonts w:hint="eastAsia" w:ascii="Times New Roman" w:hAnsi="Times New Roman" w:eastAsia="仿宋_GB2312"/>
          <w:color w:val="000000"/>
          <w:sz w:val="32"/>
          <w:szCs w:val="32"/>
        </w:rPr>
        <w:t>因</w:t>
      </w:r>
      <w:r>
        <w:rPr>
          <w:rFonts w:ascii="Times New Roman" w:hAnsi="Times New Roman" w:eastAsia="仿宋_GB2312"/>
          <w:color w:val="000000"/>
          <w:sz w:val="32"/>
          <w:szCs w:val="32"/>
        </w:rPr>
        <w:t>受疫情影响</w:t>
      </w:r>
      <w:r>
        <w:rPr>
          <w:rFonts w:hint="eastAsia" w:ascii="Times New Roman" w:hAnsi="Times New Roman" w:eastAsia="仿宋_GB2312"/>
          <w:color w:val="000000"/>
          <w:sz w:val="32"/>
          <w:szCs w:val="32"/>
        </w:rPr>
        <w:t>导致</w:t>
      </w:r>
      <w:r>
        <w:rPr>
          <w:rFonts w:ascii="Times New Roman" w:hAnsi="Times New Roman" w:eastAsia="仿宋_GB2312"/>
          <w:color w:val="000000"/>
          <w:sz w:val="32"/>
          <w:szCs w:val="32"/>
        </w:rPr>
        <w:t>缴纳水、气费用困难的服务业企业，不停止供应</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可由企业申请办理延期缴费。具体办法由市水务集团、市综合执法局制定。（责任单位：市水务集团、市综合执法局）</w:t>
      </w:r>
    </w:p>
    <w:p>
      <w:pPr>
        <w:pStyle w:val="3"/>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符合条件的服务业企业，可缓缴失业保险费，期限不超过一年，缓缴期间不收滞纳金。具体办法由市人力社保局会同市税务局、市财政局</w:t>
      </w:r>
      <w:r>
        <w:rPr>
          <w:rFonts w:hint="eastAsia" w:ascii="Times New Roman" w:hAnsi="Times New Roman" w:eastAsia="仿宋_GB2312"/>
          <w:color w:val="000000"/>
          <w:sz w:val="32"/>
          <w:szCs w:val="32"/>
        </w:rPr>
        <w:t>等部门另行</w:t>
      </w:r>
      <w:r>
        <w:rPr>
          <w:rFonts w:ascii="Times New Roman" w:hAnsi="Times New Roman" w:eastAsia="仿宋_GB2312"/>
          <w:color w:val="000000"/>
          <w:sz w:val="32"/>
          <w:szCs w:val="32"/>
        </w:rPr>
        <w:t>制定。（责任单位：市人力社保局、市税务局、市财政局）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highlight w:val="yellow"/>
        </w:rPr>
      </w:pPr>
      <w:r>
        <w:rPr>
          <w:color w:val="000000"/>
        </w:rPr>
        <w:t>13.</w:t>
      </w:r>
      <w:r>
        <w:rPr>
          <w:rFonts w:hint="eastAsia"/>
          <w:color w:val="000000"/>
        </w:rPr>
        <w:t xml:space="preserve"> </w:t>
      </w:r>
      <w:r>
        <w:rPr>
          <w:color w:val="000000"/>
        </w:rPr>
        <w:t>延续实施阶段性下调失业保险费率。对不裁员、少裁员的企业继续实施普惠性失业保险稳岗返还政策，其中2022年度中小微企业返还比例从60%提高到90%。</w:t>
      </w:r>
      <w:r>
        <w:rPr>
          <w:rFonts w:hint="eastAsia"/>
          <w:color w:val="000000"/>
        </w:rPr>
        <w:t>符合条件的服务业市场主体可以享受。</w:t>
      </w:r>
      <w:r>
        <w:rPr>
          <w:color w:val="000000"/>
        </w:rPr>
        <w:t>（责任单位：市人力社保局、市财政局、市税务局）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spacing w:val="6"/>
          <w:highlight w:val="lightGray"/>
        </w:rPr>
      </w:pPr>
      <w:r>
        <w:rPr>
          <w:color w:val="000000"/>
        </w:rPr>
        <w:t>14.</w:t>
      </w:r>
      <w:r>
        <w:rPr>
          <w:rFonts w:hint="eastAsia"/>
          <w:color w:val="000000"/>
        </w:rPr>
        <w:t xml:space="preserve"> </w:t>
      </w:r>
      <w:r>
        <w:rPr>
          <w:color w:val="000000"/>
        </w:rPr>
        <w:t>减免受疫情影响地区市场主体租金。服务业民营企业、个体工商户和个人承租国有经营性房屋（土地）</w:t>
      </w:r>
      <w:r>
        <w:rPr>
          <w:rFonts w:hint="eastAsia"/>
          <w:color w:val="000000"/>
        </w:rPr>
        <w:t>的，可减免3个月租金；2022年如所在行政区域被列为疫情中高</w:t>
      </w:r>
      <w:r>
        <w:rPr>
          <w:color w:val="000000"/>
        </w:rPr>
        <w:t>风险地区</w:t>
      </w:r>
      <w:r>
        <w:rPr>
          <w:rFonts w:hint="eastAsia"/>
          <w:color w:val="000000"/>
        </w:rPr>
        <w:t>，给予减免</w:t>
      </w:r>
      <w:r>
        <w:rPr>
          <w:color w:val="000000"/>
        </w:rPr>
        <w:t>6个月租金</w:t>
      </w:r>
      <w:r>
        <w:rPr>
          <w:rFonts w:hint="eastAsia"/>
          <w:color w:val="000000"/>
        </w:rPr>
        <w:t>。</w:t>
      </w:r>
      <w:r>
        <w:rPr>
          <w:color w:val="000000"/>
        </w:rPr>
        <w:t>各地可统筹各类资金，对承租非国有房屋的服务业企业、个体工商户和个人给予适当帮扶。对减免租金的房屋业主，2022年缴纳房产税、城镇土地使用税确有困难的，</w:t>
      </w:r>
      <w:bookmarkStart w:id="1" w:name="_Hlk98834498"/>
      <w:r>
        <w:rPr>
          <w:color w:val="000000"/>
        </w:rPr>
        <w:t>可按第7条执行。</w:t>
      </w:r>
      <w:bookmarkEnd w:id="1"/>
      <w:r>
        <w:rPr>
          <w:color w:val="000000"/>
        </w:rPr>
        <w:t>（责任单位：市国资委、市财政局、市机关事务局、市市场监管局）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rPr>
      </w:pPr>
      <w:r>
        <w:rPr>
          <w:color w:val="000000"/>
        </w:rPr>
        <w:t>15.</w:t>
      </w:r>
      <w:r>
        <w:rPr>
          <w:rFonts w:hint="eastAsia"/>
          <w:color w:val="000000"/>
        </w:rPr>
        <w:t xml:space="preserve"> </w:t>
      </w:r>
      <w:r>
        <w:rPr>
          <w:color w:val="000000"/>
        </w:rPr>
        <w:t>降低企业用能成本。对全市用电设备容量在160千瓦以下的中小企业采取低压方式接入电网，计量装置及以上工程由供电企业投资建设。鼓励110千伏及以上的大用户通过直接向电厂购电，降低企业大用户用电成本。鼓励不满1千伏用电电压等级的工商业用户直接参与市场交易，未直接参与市场交易的由电网企业代理购电。电压等级不满1千伏工商业用户，现货市场运行时，不承担辅助服务、成本补偿等市场分摊费用。执行时间至2023年12月31日。（责任单位：市发展改革委、</w:t>
      </w:r>
      <w:r>
        <w:rPr>
          <w:rFonts w:hint="eastAsia"/>
          <w:color w:val="000000"/>
        </w:rPr>
        <w:t>台州</w:t>
      </w:r>
      <w:r>
        <w:rPr>
          <w:color w:val="000000"/>
        </w:rPr>
        <w:t>电业局）</w:t>
      </w:r>
      <w:bookmarkStart w:id="2" w:name="_Hlk98834739"/>
    </w:p>
    <w:bookmarkEnd w:id="2"/>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spacing w:val="6"/>
          <w:highlight w:val="lightGray"/>
        </w:rPr>
      </w:pPr>
      <w:bookmarkStart w:id="3" w:name="_Hlk98834906"/>
      <w:r>
        <w:rPr>
          <w:color w:val="000000"/>
        </w:rPr>
        <w:t>16.</w:t>
      </w:r>
      <w:r>
        <w:rPr>
          <w:rFonts w:hint="eastAsia"/>
          <w:color w:val="000000"/>
        </w:rPr>
        <w:t xml:space="preserve"> </w:t>
      </w:r>
      <w:r>
        <w:rPr>
          <w:color w:val="000000"/>
        </w:rPr>
        <w:t>提升普惠小微金融服务。组织本地区地方法人银行按规定向人民银行申请普惠小微贷款余额增量1%的激励资金支持，加强政策性转贷款运用，引导金融机构加大对服务业的倾斜力度。</w:t>
      </w:r>
      <w:bookmarkEnd w:id="3"/>
      <w:r>
        <w:rPr>
          <w:color w:val="000000"/>
        </w:rPr>
        <w:t>（责任单位：人行台州市中心支行、台州银保监分局、市金融办）</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rPr>
      </w:pPr>
      <w:r>
        <w:rPr>
          <w:color w:val="000000"/>
        </w:rPr>
        <w:t>17.</w:t>
      </w:r>
      <w:r>
        <w:rPr>
          <w:rFonts w:hint="eastAsia"/>
          <w:color w:val="000000"/>
        </w:rPr>
        <w:t xml:space="preserve"> </w:t>
      </w:r>
      <w:r>
        <w:rPr>
          <w:color w:val="000000"/>
        </w:rPr>
        <w:t>加大政府性融资担保支持力度。鼓励政府性融资担保机构加大对服务业企业的融资增信支持和降费力度，2022年4月1日至6月30日，市级政府性融资担保机构服务业企业平均担保费率在2021年的基础上下降20%。（责任单位：市金融办、市财政局、市信保公司</w:t>
      </w:r>
      <w:r>
        <w:rPr>
          <w:rFonts w:hint="eastAsia"/>
          <w:color w:val="000000"/>
        </w:rPr>
        <w:t>）</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highlight w:val="lightGray"/>
        </w:rPr>
      </w:pPr>
      <w:r>
        <w:rPr>
          <w:color w:val="000000"/>
        </w:rPr>
        <w:t>18.</w:t>
      </w:r>
      <w:r>
        <w:rPr>
          <w:rFonts w:hint="eastAsia"/>
          <w:color w:val="000000"/>
        </w:rPr>
        <w:t xml:space="preserve"> </w:t>
      </w:r>
      <w:r>
        <w:rPr>
          <w:color w:val="000000"/>
        </w:rPr>
        <w:t>稳定信贷预期。鼓励银行业金融机构做好受疫情影响严重的餐饮住宿、批发零售、交通运输、文化旅游、其他服务业等领域企业贷款的续贷</w:t>
      </w:r>
      <w:r>
        <w:rPr>
          <w:rFonts w:hint="eastAsia" w:ascii="仿宋_GB2312"/>
          <w:color w:val="000000"/>
        </w:rPr>
        <w:t>、展期等服务，不随意压降存量信贷规模或改变存量授信条件，推进连续贷、灵活贷、助力贷等机制，力争“连续贷+灵活贷”两项机制</w:t>
      </w:r>
      <w:r>
        <w:rPr>
          <w:color w:val="000000"/>
        </w:rPr>
        <w:t>占比超过50%。（责任单位：市金融办、人行台州市中心支行、台州银保监分局）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spacing w:val="6"/>
          <w:highlight w:val="lightGray"/>
        </w:rPr>
      </w:pPr>
      <w:r>
        <w:rPr>
          <w:color w:val="000000"/>
        </w:rPr>
        <w:t>19.</w:t>
      </w:r>
      <w:r>
        <w:rPr>
          <w:rFonts w:hint="eastAsia"/>
          <w:color w:val="000000"/>
        </w:rPr>
        <w:t xml:space="preserve"> </w:t>
      </w:r>
      <w:r>
        <w:rPr>
          <w:color w:val="000000"/>
        </w:rPr>
        <w:t>继续推动金融系统减费让利，落实好贷款市场报价利率（LPR）下行、支农支小再贷款利率下调，推动实际贷款利率在前期大幅降低基础上继续下行，鼓励银行对小微企业减免银行账户、转账汇款、票据、银行卡刷卡、电子银行等业务的手续费，力争全年向</w:t>
      </w:r>
      <w:r>
        <w:rPr>
          <w:rFonts w:hint="eastAsia"/>
          <w:color w:val="000000"/>
        </w:rPr>
        <w:t>市场主体</w:t>
      </w:r>
      <w:r>
        <w:rPr>
          <w:color w:val="000000"/>
        </w:rPr>
        <w:t>让利6000万元。（责任单位：人行台州市中心支行、台州银保监分局、市金融办）</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highlight w:val="lightGray"/>
        </w:rPr>
      </w:pPr>
      <w:r>
        <w:rPr>
          <w:color w:val="000000"/>
        </w:rPr>
        <w:t>20.</w:t>
      </w:r>
      <w:r>
        <w:rPr>
          <w:rFonts w:hint="eastAsia"/>
          <w:color w:val="000000"/>
        </w:rPr>
        <w:t xml:space="preserve"> </w:t>
      </w:r>
      <w:r>
        <w:rPr>
          <w:color w:val="000000"/>
        </w:rPr>
        <w:t>鼓励各县（市、区）设立或统筹安排中小企业纾困资金，为餐饮住宿、批发零售、文化旅游、其他服务业等服务业中小微企业和存在困难的新能源出租车、城市公交运营、网约车等提供针对性纾困支持。（责任单位：市经信局、市财政局、市发展改革委、市商务局、市文</w:t>
      </w:r>
      <w:r>
        <w:rPr>
          <w:rFonts w:hint="eastAsia"/>
          <w:color w:val="000000"/>
        </w:rPr>
        <w:t>化</w:t>
      </w:r>
      <w:r>
        <w:rPr>
          <w:color w:val="000000"/>
        </w:rPr>
        <w:t>广</w:t>
      </w:r>
      <w:r>
        <w:rPr>
          <w:rFonts w:hint="eastAsia"/>
          <w:color w:val="000000"/>
        </w:rPr>
        <w:t>电</w:t>
      </w:r>
      <w:r>
        <w:rPr>
          <w:color w:val="000000"/>
        </w:rPr>
        <w:t>旅</w:t>
      </w:r>
      <w:r>
        <w:rPr>
          <w:rFonts w:hint="eastAsia"/>
          <w:color w:val="000000"/>
        </w:rPr>
        <w:t>游</w:t>
      </w:r>
      <w:r>
        <w:rPr>
          <w:color w:val="000000"/>
        </w:rPr>
        <w:t>体</w:t>
      </w:r>
      <w:r>
        <w:rPr>
          <w:rFonts w:hint="eastAsia"/>
          <w:color w:val="000000"/>
        </w:rPr>
        <w:t>育</w:t>
      </w:r>
      <w:r>
        <w:rPr>
          <w:color w:val="000000"/>
        </w:rPr>
        <w:t>局、市交通运输局、市金融办、人行台州市中心支行、台州银保监分局）</w:t>
      </w:r>
    </w:p>
    <w:p>
      <w:pPr>
        <w:pStyle w:val="3"/>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21.</w:t>
      </w:r>
      <w:r>
        <w:rPr>
          <w:rFonts w:hint="eastAsia" w:ascii="Times New Roman" w:hAnsi="Times New Roman" w:eastAsia="仿宋_GB2312"/>
          <w:color w:val="000000"/>
          <w:sz w:val="32"/>
          <w:szCs w:val="32"/>
        </w:rPr>
        <w:t xml:space="preserve"> 预留服务业中小企业政府采购项目比例在省定比例的基础上提高10个百分点，鼓励服务业企业积极参加相关服务项目政府采购活动，采购组织机构不得以行业评级、所有制等为门槛限制相关企业参与。</w:t>
      </w:r>
      <w:r>
        <w:rPr>
          <w:rFonts w:ascii="Times New Roman" w:hAnsi="Times New Roman" w:eastAsia="仿宋_GB2312"/>
          <w:color w:val="000000"/>
          <w:sz w:val="32"/>
          <w:szCs w:val="32"/>
        </w:rPr>
        <w:t>（责任单位：市财政局）</w:t>
      </w:r>
    </w:p>
    <w:p>
      <w:pPr>
        <w:pStyle w:val="3"/>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22.</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将餐饮住宿业、批发零售业、文化旅游业、交通运输及航空业、其他人员密集场所企业员工纳入免费核酸检测人群，按重点人员核酸检测要求定期开展核酸检测，具体名单由企业注册所在地行业主管部门根据企业申请审核后，提交本级疫情防控指挥部确定，由属地落实。（责任单位：市疫情防控办、市卫生健康委、市财政局</w:t>
      </w:r>
      <w:r>
        <w:rPr>
          <w:rFonts w:hint="eastAsia" w:ascii="Times New Roman" w:hAnsi="Times New Roman" w:eastAsia="仿宋_GB2312"/>
          <w:color w:val="000000"/>
          <w:sz w:val="32"/>
          <w:szCs w:val="32"/>
        </w:rPr>
        <w:t>及</w:t>
      </w:r>
      <w:r>
        <w:rPr>
          <w:rFonts w:ascii="Times New Roman" w:hAnsi="Times New Roman" w:eastAsia="仿宋_GB2312"/>
          <w:color w:val="000000"/>
          <w:sz w:val="32"/>
          <w:szCs w:val="32"/>
        </w:rPr>
        <w:t>相关行业主管部门）</w:t>
      </w:r>
    </w:p>
    <w:p>
      <w:pPr>
        <w:pStyle w:val="3"/>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rFonts w:ascii="Times New Roman" w:hAnsi="Times New Roman" w:eastAsia="仿宋_GB2312"/>
          <w:color w:val="000000"/>
          <w:sz w:val="32"/>
          <w:szCs w:val="32"/>
          <w:highlight w:val="yellow"/>
        </w:rPr>
      </w:pPr>
      <w:r>
        <w:rPr>
          <w:rFonts w:ascii="Times New Roman" w:hAnsi="Times New Roman" w:eastAsia="仿宋_GB2312"/>
          <w:color w:val="000000"/>
          <w:sz w:val="32"/>
          <w:szCs w:val="32"/>
        </w:rPr>
        <w:t>23.</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鼓励有条件的县（市、区）按照企业实际支出，给予一定比例的防疫、消杀补贴支持。（责任单位：各行业主管部门、市卫生健康委、市疫情防控办、市财政局）</w:t>
      </w:r>
    </w:p>
    <w:p>
      <w:pPr>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rFonts w:eastAsia="黑体"/>
          <w:color w:val="000000"/>
        </w:rPr>
      </w:pPr>
      <w:r>
        <w:rPr>
          <w:rFonts w:eastAsia="黑体"/>
          <w:color w:val="000000"/>
        </w:rPr>
        <w:t>二、分行业领域纾困帮扶政策</w:t>
      </w:r>
    </w:p>
    <w:p>
      <w:pPr>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rFonts w:eastAsia="楷体_GB2312"/>
          <w:bCs/>
          <w:color w:val="000000"/>
        </w:rPr>
      </w:pPr>
      <w:r>
        <w:rPr>
          <w:rFonts w:eastAsia="楷体_GB2312"/>
          <w:bCs/>
          <w:color w:val="000000"/>
        </w:rPr>
        <w:t>（一）餐饮住宿业</w:t>
      </w:r>
      <w:r>
        <w:rPr>
          <w:rFonts w:hint="eastAsia" w:eastAsia="楷体_GB2312"/>
          <w:bCs/>
          <w:color w:val="000000"/>
        </w:rPr>
        <w:t>。</w:t>
      </w:r>
    </w:p>
    <w:p>
      <w:pPr>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color w:val="000000"/>
        </w:rPr>
      </w:pPr>
      <w:r>
        <w:rPr>
          <w:color w:val="000000"/>
        </w:rPr>
        <w:t>24.</w:t>
      </w:r>
      <w:r>
        <w:rPr>
          <w:rFonts w:hint="eastAsia"/>
          <w:color w:val="000000"/>
        </w:rPr>
        <w:t xml:space="preserve"> </w:t>
      </w:r>
      <w:r>
        <w:rPr>
          <w:color w:val="000000"/>
        </w:rPr>
        <w:t>鼓励各县（市、区）结合实际，</w:t>
      </w:r>
      <w:r>
        <w:rPr>
          <w:rFonts w:hint="eastAsia"/>
          <w:color w:val="000000"/>
        </w:rPr>
        <w:t>在符合疫情防控前提下，</w:t>
      </w:r>
      <w:r>
        <w:rPr>
          <w:color w:val="000000"/>
        </w:rPr>
        <w:t>举办不同类型的特色美食节会</w:t>
      </w:r>
      <w:r>
        <w:rPr>
          <w:rFonts w:hint="eastAsia"/>
          <w:color w:val="000000"/>
        </w:rPr>
        <w:t>，</w:t>
      </w:r>
      <w:r>
        <w:rPr>
          <w:color w:val="000000"/>
        </w:rPr>
        <w:t>全面激发餐饮市场发展潜力</w:t>
      </w:r>
      <w:r>
        <w:rPr>
          <w:rFonts w:hint="eastAsia"/>
          <w:color w:val="000000"/>
        </w:rPr>
        <w:t>。</w:t>
      </w:r>
      <w:r>
        <w:rPr>
          <w:color w:val="000000"/>
        </w:rPr>
        <w:t>2022年各县（市、区）在发放消费补贴时，原则上应安排不少于30%资金（汽车消费补贴部分除外）用于餐饮行业精准帮扶。（责任单位：市商务局、市财政局）</w:t>
      </w:r>
    </w:p>
    <w:p>
      <w:pPr>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color w:val="000000"/>
          <w:highlight w:val="lightGray"/>
        </w:rPr>
      </w:pPr>
      <w:r>
        <w:rPr>
          <w:color w:val="000000"/>
        </w:rPr>
        <w:t>25.</w:t>
      </w:r>
      <w:r>
        <w:rPr>
          <w:rFonts w:hint="eastAsia"/>
          <w:color w:val="000000"/>
        </w:rPr>
        <w:t xml:space="preserve"> </w:t>
      </w:r>
      <w:r>
        <w:rPr>
          <w:color w:val="000000"/>
        </w:rPr>
        <w:t>公益性检验检测机构</w:t>
      </w:r>
      <w:r>
        <w:rPr>
          <w:rFonts w:hint="eastAsia"/>
          <w:color w:val="000000"/>
        </w:rPr>
        <w:t>对</w:t>
      </w:r>
      <w:r>
        <w:rPr>
          <w:color w:val="000000"/>
        </w:rPr>
        <w:t>餐饮住宿企业减半收取特种设备检验检测费，免收企业锅炉能效测试费、场</w:t>
      </w:r>
      <w:r>
        <w:rPr>
          <w:rFonts w:hint="eastAsia"/>
          <w:color w:val="000000"/>
        </w:rPr>
        <w:t>（</w:t>
      </w:r>
      <w:r>
        <w:rPr>
          <w:color w:val="000000"/>
        </w:rPr>
        <w:t>厂</w:t>
      </w:r>
      <w:r>
        <w:rPr>
          <w:rFonts w:hint="eastAsia"/>
          <w:color w:val="000000"/>
        </w:rPr>
        <w:t>）</w:t>
      </w:r>
      <w:r>
        <w:rPr>
          <w:color w:val="000000"/>
        </w:rPr>
        <w:t xml:space="preserve">内机动车辆牌照费和困难小作坊锅炉检验费，减轻企业负担。执行时间至2023 </w:t>
      </w:r>
      <w:r>
        <w:rPr>
          <w:rFonts w:hint="eastAsia"/>
          <w:color w:val="000000"/>
        </w:rPr>
        <w:t>年</w:t>
      </w:r>
      <w:r>
        <w:rPr>
          <w:color w:val="000000"/>
        </w:rPr>
        <w:t>12</w:t>
      </w:r>
      <w:r>
        <w:rPr>
          <w:rFonts w:hint="eastAsia"/>
          <w:color w:val="000000"/>
        </w:rPr>
        <w:t>月</w:t>
      </w:r>
      <w:r>
        <w:rPr>
          <w:color w:val="000000"/>
        </w:rPr>
        <w:t>31日。</w:t>
      </w:r>
      <w:r>
        <w:rPr>
          <w:rFonts w:hint="eastAsia"/>
          <w:color w:val="000000"/>
        </w:rPr>
        <w:t>（</w:t>
      </w:r>
      <w:r>
        <w:rPr>
          <w:color w:val="000000"/>
        </w:rPr>
        <w:t>责任单位:市市场监管局</w:t>
      </w:r>
      <w:r>
        <w:rPr>
          <w:rFonts w:hint="eastAsia"/>
          <w:color w:val="000000"/>
        </w:rPr>
        <w:t>）</w:t>
      </w:r>
    </w:p>
    <w:p>
      <w:pPr>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color w:val="000000"/>
        </w:rPr>
      </w:pPr>
      <w:r>
        <w:rPr>
          <w:color w:val="000000"/>
        </w:rPr>
        <w:t>26.</w:t>
      </w:r>
      <w:r>
        <w:rPr>
          <w:rFonts w:hint="eastAsia"/>
          <w:color w:val="000000"/>
        </w:rPr>
        <w:t xml:space="preserve"> </w:t>
      </w:r>
      <w:r>
        <w:rPr>
          <w:color w:val="000000"/>
        </w:rPr>
        <w:t>鼓励保险机构优化产品和服务，探索开展因疫情导致餐饮住宿企业营业中断损失保险，提升理赔效率，提高对餐饮住宿企业的保障程度。鼓励有条件的</w:t>
      </w:r>
      <w:r>
        <w:rPr>
          <w:rFonts w:hint="eastAsia"/>
          <w:color w:val="000000"/>
        </w:rPr>
        <w:t>县（市、区）</w:t>
      </w:r>
      <w:r>
        <w:rPr>
          <w:color w:val="000000"/>
        </w:rPr>
        <w:t>给予保费补贴。（责任单位：市商务局、市文</w:t>
      </w:r>
      <w:r>
        <w:rPr>
          <w:rFonts w:hint="eastAsia"/>
          <w:color w:val="000000"/>
        </w:rPr>
        <w:t>化</w:t>
      </w:r>
      <w:r>
        <w:rPr>
          <w:color w:val="000000"/>
        </w:rPr>
        <w:t>广</w:t>
      </w:r>
      <w:r>
        <w:rPr>
          <w:rFonts w:hint="eastAsia"/>
          <w:color w:val="000000"/>
        </w:rPr>
        <w:t>电</w:t>
      </w:r>
      <w:r>
        <w:rPr>
          <w:color w:val="000000"/>
        </w:rPr>
        <w:t>旅</w:t>
      </w:r>
      <w:r>
        <w:rPr>
          <w:rFonts w:hint="eastAsia"/>
          <w:color w:val="000000"/>
        </w:rPr>
        <w:t>游</w:t>
      </w:r>
      <w:r>
        <w:rPr>
          <w:color w:val="000000"/>
        </w:rPr>
        <w:t>体</w:t>
      </w:r>
      <w:r>
        <w:rPr>
          <w:rFonts w:hint="eastAsia"/>
          <w:color w:val="000000"/>
        </w:rPr>
        <w:t>育</w:t>
      </w:r>
      <w:r>
        <w:rPr>
          <w:color w:val="000000"/>
        </w:rPr>
        <w:t>局、市市场监管局、台州银保监分局）</w:t>
      </w:r>
    </w:p>
    <w:p>
      <w:pPr>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rFonts w:eastAsia="楷体_GB2312"/>
          <w:color w:val="000000"/>
          <w:kern w:val="44"/>
        </w:rPr>
      </w:pPr>
      <w:r>
        <w:rPr>
          <w:rFonts w:eastAsia="楷体_GB2312"/>
          <w:color w:val="000000"/>
          <w:kern w:val="44"/>
        </w:rPr>
        <w:t>（二）批发零售业</w:t>
      </w:r>
      <w:r>
        <w:rPr>
          <w:rFonts w:hint="eastAsia" w:eastAsia="楷体_GB2312"/>
          <w:color w:val="000000"/>
          <w:kern w:val="44"/>
        </w:rPr>
        <w:t>。</w:t>
      </w:r>
    </w:p>
    <w:p>
      <w:pPr>
        <w:pStyle w:val="3"/>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rFonts w:ascii="Times New Roman" w:hAnsi="Times New Roman" w:eastAsia="仿宋_GB2312"/>
          <w:color w:val="000000"/>
          <w:spacing w:val="6"/>
          <w:sz w:val="32"/>
          <w:szCs w:val="32"/>
          <w:highlight w:val="lightGray"/>
        </w:rPr>
      </w:pPr>
      <w:r>
        <w:rPr>
          <w:rFonts w:ascii="Times New Roman" w:hAnsi="Times New Roman" w:eastAsia="仿宋_GB2312"/>
          <w:color w:val="000000"/>
          <w:sz w:val="32"/>
          <w:szCs w:val="32"/>
        </w:rPr>
        <w:t>27.</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鼓励开展促销活动，对承办市、县（市、区）政府或商务主管部门主办的各类促消费活动（不含政府已购买服务的活动），根据活动规模和时间分档给予活动承办主体最高20万元的奖励。具体办法由市商务局制定。（责任单位：市商务局、市财政局）</w:t>
      </w:r>
    </w:p>
    <w:p>
      <w:pPr>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color w:val="000000"/>
          <w:highlight w:val="lightGray"/>
        </w:rPr>
      </w:pPr>
      <w:r>
        <w:rPr>
          <w:color w:val="000000"/>
        </w:rPr>
        <w:t>28.</w:t>
      </w:r>
      <w:r>
        <w:rPr>
          <w:rFonts w:hint="eastAsia"/>
          <w:color w:val="000000"/>
        </w:rPr>
        <w:t xml:space="preserve"> </w:t>
      </w:r>
      <w:r>
        <w:rPr>
          <w:color w:val="000000"/>
        </w:rPr>
        <w:t>对符合条件的农产品冷链物流设施建设等，在农业农村等相关资金中予以支持。支持新建或改扩建一批产地仓储保鲜、产后商品化处理设施，对符合条件的区域型、共享型产地仓储保鲜、产后商品化处理设施（含中央厨房等）项目，按投资额给予50%、最高150万元补助。（责任单位：市农业农村局、市财政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rFonts w:eastAsia="楷体_GB2312"/>
          <w:color w:val="000000"/>
        </w:rPr>
      </w:pPr>
      <w:r>
        <w:rPr>
          <w:rFonts w:eastAsia="楷体_GB2312"/>
          <w:color w:val="000000"/>
          <w:kern w:val="44"/>
        </w:rPr>
        <w:t>（三）文化旅游业</w:t>
      </w:r>
      <w:r>
        <w:rPr>
          <w:rFonts w:hint="eastAsia" w:eastAsia="楷体_GB2312"/>
          <w:color w:val="000000"/>
          <w:kern w:val="44"/>
        </w:rPr>
        <w:t>。</w:t>
      </w:r>
    </w:p>
    <w:p>
      <w:pPr>
        <w:pStyle w:val="13"/>
        <w:keepNext w:val="0"/>
        <w:keepLines w:val="0"/>
        <w:pageBreakBefore w:val="0"/>
        <w:widowControl w:val="0"/>
        <w:kinsoku/>
        <w:wordWrap/>
        <w:overflowPunct/>
        <w:topLinePunct w:val="0"/>
        <w:autoSpaceDE/>
        <w:autoSpaceDN/>
        <w:bidi w:val="0"/>
        <w:spacing w:after="0" w:line="600" w:lineRule="exact"/>
        <w:ind w:firstLine="632" w:firstLineChars="200"/>
        <w:jc w:val="both"/>
        <w:textAlignment w:val="auto"/>
        <w:rPr>
          <w:color w:val="000000"/>
          <w:szCs w:val="32"/>
        </w:rPr>
      </w:pPr>
      <w:r>
        <w:rPr>
          <w:bCs/>
          <w:color w:val="000000"/>
          <w:szCs w:val="32"/>
        </w:rPr>
        <w:t>29.</w:t>
      </w:r>
      <w:r>
        <w:rPr>
          <w:rFonts w:hint="eastAsia"/>
          <w:bCs/>
          <w:color w:val="000000"/>
          <w:szCs w:val="32"/>
        </w:rPr>
        <w:t xml:space="preserve"> </w:t>
      </w:r>
      <w:r>
        <w:rPr>
          <w:bCs/>
          <w:color w:val="000000"/>
          <w:szCs w:val="32"/>
        </w:rPr>
        <w:t>创新旅游服务质量保证金交纳方式。出台保险交纳旅游服务质量保证金试点暂行规定，完成产品落地、数据平台搭建等工作，争取全市旅行社的保险替代旅游服务质量保证金的比例超过60%。（责任单位：市文</w:t>
      </w:r>
      <w:r>
        <w:rPr>
          <w:rFonts w:hint="eastAsia"/>
          <w:bCs/>
          <w:color w:val="000000"/>
          <w:szCs w:val="32"/>
        </w:rPr>
        <w:t>化</w:t>
      </w:r>
      <w:r>
        <w:rPr>
          <w:bCs/>
          <w:color w:val="000000"/>
          <w:szCs w:val="32"/>
        </w:rPr>
        <w:t>广</w:t>
      </w:r>
      <w:r>
        <w:rPr>
          <w:rFonts w:hint="eastAsia"/>
          <w:bCs/>
          <w:color w:val="000000"/>
          <w:szCs w:val="32"/>
        </w:rPr>
        <w:t>电</w:t>
      </w:r>
      <w:r>
        <w:rPr>
          <w:bCs/>
          <w:color w:val="000000"/>
          <w:szCs w:val="32"/>
        </w:rPr>
        <w:t>旅</w:t>
      </w:r>
      <w:r>
        <w:rPr>
          <w:rFonts w:hint="eastAsia"/>
          <w:bCs/>
          <w:color w:val="000000"/>
          <w:szCs w:val="32"/>
        </w:rPr>
        <w:t>游</w:t>
      </w:r>
      <w:r>
        <w:rPr>
          <w:bCs/>
          <w:color w:val="000000"/>
          <w:szCs w:val="32"/>
        </w:rPr>
        <w:t>体</w:t>
      </w:r>
      <w:r>
        <w:rPr>
          <w:rFonts w:hint="eastAsia"/>
          <w:bCs/>
          <w:color w:val="000000"/>
          <w:szCs w:val="32"/>
        </w:rPr>
        <w:t>育</w:t>
      </w:r>
      <w:r>
        <w:rPr>
          <w:bCs/>
          <w:color w:val="000000"/>
          <w:szCs w:val="32"/>
        </w:rPr>
        <w:t>局、台州银保监分局）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highlight w:val="lightGray"/>
        </w:rPr>
      </w:pPr>
      <w:r>
        <w:rPr>
          <w:color w:val="000000"/>
        </w:rPr>
        <w:t>30.</w:t>
      </w:r>
      <w:r>
        <w:rPr>
          <w:rFonts w:hint="eastAsia"/>
          <w:color w:val="000000"/>
        </w:rPr>
        <w:t xml:space="preserve"> </w:t>
      </w:r>
      <w:r>
        <w:rPr>
          <w:color w:val="000000"/>
        </w:rPr>
        <w:t>发挥旅游银行带动引领作用，建立健全重点文化和旅游企业项目融资需求库，引导银行业金融机构对符合条件的、预期发展前景较好的A级旅游景区、旅游度假区、乡村旅游经营单位、星级酒店、旅行社、省级以上文化产业示范园区（基地）、梯度培育企业及重点文旅项目等文化和旅游市场主体加大信贷投入，适当提高贷款额度。（责任单位：人行台州市中心支行、台州银保监分局、市文</w:t>
      </w:r>
      <w:r>
        <w:rPr>
          <w:rFonts w:hint="eastAsia"/>
          <w:color w:val="000000"/>
        </w:rPr>
        <w:t>化</w:t>
      </w:r>
      <w:r>
        <w:rPr>
          <w:color w:val="000000"/>
        </w:rPr>
        <w:t>广</w:t>
      </w:r>
      <w:r>
        <w:rPr>
          <w:rFonts w:hint="eastAsia"/>
          <w:color w:val="000000"/>
        </w:rPr>
        <w:t>电</w:t>
      </w:r>
      <w:r>
        <w:rPr>
          <w:color w:val="000000"/>
        </w:rPr>
        <w:t>旅</w:t>
      </w:r>
      <w:r>
        <w:rPr>
          <w:rFonts w:hint="eastAsia"/>
          <w:color w:val="000000"/>
        </w:rPr>
        <w:t>游</w:t>
      </w:r>
      <w:r>
        <w:rPr>
          <w:color w:val="000000"/>
        </w:rPr>
        <w:t>体</w:t>
      </w:r>
      <w:r>
        <w:rPr>
          <w:rFonts w:hint="eastAsia"/>
          <w:color w:val="000000"/>
        </w:rPr>
        <w:t>育</w:t>
      </w:r>
      <w:r>
        <w:rPr>
          <w:color w:val="000000"/>
        </w:rPr>
        <w:t>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rPr>
      </w:pPr>
      <w:r>
        <w:rPr>
          <w:color w:val="000000"/>
        </w:rPr>
        <w:t>31.</w:t>
      </w:r>
      <w:r>
        <w:rPr>
          <w:rFonts w:hint="eastAsia"/>
          <w:color w:val="000000"/>
        </w:rPr>
        <w:t xml:space="preserve"> </w:t>
      </w:r>
      <w:r>
        <w:rPr>
          <w:color w:val="000000"/>
        </w:rPr>
        <w:t>鼓励银行业金融机构对旅游相关初创企业、中小微企业和星级以上民宿及农家乐等个体工商户分类予以小额贷款支持。（责任单位：人行台州市中心支行、台州银保监分局、市文</w:t>
      </w:r>
      <w:r>
        <w:rPr>
          <w:rFonts w:hint="eastAsia"/>
          <w:color w:val="000000"/>
        </w:rPr>
        <w:t>化</w:t>
      </w:r>
      <w:r>
        <w:rPr>
          <w:color w:val="000000"/>
        </w:rPr>
        <w:t>广</w:t>
      </w:r>
      <w:r>
        <w:rPr>
          <w:rFonts w:hint="eastAsia"/>
          <w:color w:val="000000"/>
        </w:rPr>
        <w:t>电</w:t>
      </w:r>
      <w:r>
        <w:rPr>
          <w:color w:val="000000"/>
        </w:rPr>
        <w:t>旅</w:t>
      </w:r>
      <w:r>
        <w:rPr>
          <w:rFonts w:hint="eastAsia"/>
          <w:color w:val="000000"/>
        </w:rPr>
        <w:t>游</w:t>
      </w:r>
      <w:r>
        <w:rPr>
          <w:color w:val="000000"/>
        </w:rPr>
        <w:t>体</w:t>
      </w:r>
      <w:r>
        <w:rPr>
          <w:rFonts w:hint="eastAsia"/>
          <w:color w:val="000000"/>
        </w:rPr>
        <w:t>育</w:t>
      </w:r>
      <w:r>
        <w:rPr>
          <w:color w:val="000000"/>
        </w:rPr>
        <w:t>局、市农业农村局）</w:t>
      </w:r>
    </w:p>
    <w:p>
      <w:pPr>
        <w:pStyle w:val="3"/>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rFonts w:ascii="Times New Roman" w:hAnsi="Times New Roman" w:eastAsia="仿宋_GB2312"/>
          <w:color w:val="000000"/>
          <w:sz w:val="32"/>
          <w:szCs w:val="32"/>
          <w:highlight w:val="lightGray"/>
        </w:rPr>
      </w:pPr>
      <w:r>
        <w:rPr>
          <w:rFonts w:ascii="Times New Roman" w:hAnsi="Times New Roman" w:eastAsia="仿宋_GB2312"/>
          <w:color w:val="000000"/>
          <w:sz w:val="32"/>
          <w:szCs w:val="32"/>
        </w:rPr>
        <w:t>32.</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对A级旅游景区、星级旅游饭店、旅行社等旅游企业2022年在各类媒体投放的台州旅游产品、线路广告，以及开展的各类旅游营销活动，鼓励各地给予适当支持，具体办法由各地</w:t>
      </w:r>
      <w:r>
        <w:rPr>
          <w:rFonts w:hint="eastAsia" w:ascii="Times New Roman" w:hAnsi="Times New Roman" w:eastAsia="仿宋_GB2312"/>
          <w:color w:val="000000"/>
          <w:sz w:val="32"/>
          <w:szCs w:val="32"/>
        </w:rPr>
        <w:t>另行</w:t>
      </w:r>
      <w:r>
        <w:rPr>
          <w:rFonts w:ascii="Times New Roman" w:hAnsi="Times New Roman" w:eastAsia="仿宋_GB2312"/>
          <w:color w:val="000000"/>
          <w:sz w:val="32"/>
          <w:szCs w:val="32"/>
        </w:rPr>
        <w:t>制定。（责任单位：市文</w:t>
      </w:r>
      <w:r>
        <w:rPr>
          <w:rFonts w:hint="eastAsia" w:ascii="Times New Roman" w:hAnsi="Times New Roman" w:eastAsia="仿宋_GB2312"/>
          <w:color w:val="000000"/>
          <w:sz w:val="32"/>
          <w:szCs w:val="32"/>
        </w:rPr>
        <w:t>化</w:t>
      </w:r>
      <w:r>
        <w:rPr>
          <w:rFonts w:ascii="Times New Roman" w:hAnsi="Times New Roman" w:eastAsia="仿宋_GB2312"/>
          <w:color w:val="000000"/>
          <w:sz w:val="32"/>
          <w:szCs w:val="32"/>
        </w:rPr>
        <w:t>广</w:t>
      </w:r>
      <w:r>
        <w:rPr>
          <w:rFonts w:hint="eastAsia" w:ascii="Times New Roman" w:hAnsi="Times New Roman" w:eastAsia="仿宋_GB2312"/>
          <w:color w:val="000000"/>
          <w:sz w:val="32"/>
          <w:szCs w:val="32"/>
        </w:rPr>
        <w:t>电</w:t>
      </w:r>
      <w:r>
        <w:rPr>
          <w:rFonts w:ascii="Times New Roman" w:hAnsi="Times New Roman" w:eastAsia="仿宋_GB2312"/>
          <w:color w:val="000000"/>
          <w:sz w:val="32"/>
          <w:szCs w:val="32"/>
        </w:rPr>
        <w:t>旅</w:t>
      </w:r>
      <w:r>
        <w:rPr>
          <w:rFonts w:hint="eastAsia" w:ascii="Times New Roman" w:hAnsi="Times New Roman" w:eastAsia="仿宋_GB2312"/>
          <w:color w:val="000000"/>
          <w:sz w:val="32"/>
          <w:szCs w:val="32"/>
        </w:rPr>
        <w:t>游</w:t>
      </w:r>
      <w:r>
        <w:rPr>
          <w:rFonts w:ascii="Times New Roman" w:hAnsi="Times New Roman" w:eastAsia="仿宋_GB2312"/>
          <w:color w:val="000000"/>
          <w:sz w:val="32"/>
          <w:szCs w:val="32"/>
        </w:rPr>
        <w:t>体</w:t>
      </w:r>
      <w:r>
        <w:rPr>
          <w:rFonts w:hint="eastAsia" w:ascii="Times New Roman" w:hAnsi="Times New Roman" w:eastAsia="仿宋_GB2312"/>
          <w:color w:val="000000"/>
          <w:sz w:val="32"/>
          <w:szCs w:val="32"/>
        </w:rPr>
        <w:t>育</w:t>
      </w:r>
      <w:r>
        <w:rPr>
          <w:rFonts w:ascii="Times New Roman" w:hAnsi="Times New Roman" w:eastAsia="仿宋_GB2312"/>
          <w:color w:val="000000"/>
          <w:sz w:val="32"/>
          <w:szCs w:val="32"/>
        </w:rPr>
        <w:t>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rPr>
      </w:pPr>
      <w:r>
        <w:rPr>
          <w:color w:val="000000"/>
        </w:rPr>
        <w:t>33.</w:t>
      </w:r>
      <w:r>
        <w:rPr>
          <w:rFonts w:hint="eastAsia"/>
          <w:color w:val="000000"/>
        </w:rPr>
        <w:t xml:space="preserve"> </w:t>
      </w:r>
      <w:r>
        <w:rPr>
          <w:color w:val="000000"/>
        </w:rPr>
        <w:t>降低文旅企业综合融资成本。推动银行业金融机构加强金融产品和服务创新，合理降低新发放贷款利率，拓宽文旅企业抵质押物范围，适当延长信贷还款周期，主动让利受疫情影响的困难文旅企业。对受疫情影响经营困难</w:t>
      </w:r>
      <w:r>
        <w:rPr>
          <w:rFonts w:hint="eastAsia"/>
          <w:color w:val="000000"/>
        </w:rPr>
        <w:t>、</w:t>
      </w:r>
      <w:r>
        <w:rPr>
          <w:color w:val="000000"/>
        </w:rPr>
        <w:t>贷款到期，但有市场</w:t>
      </w:r>
      <w:r>
        <w:rPr>
          <w:rFonts w:hint="eastAsia"/>
          <w:color w:val="000000"/>
        </w:rPr>
        <w:t>、</w:t>
      </w:r>
      <w:r>
        <w:rPr>
          <w:color w:val="000000"/>
        </w:rPr>
        <w:t>有订单</w:t>
      </w:r>
      <w:r>
        <w:rPr>
          <w:rFonts w:hint="eastAsia"/>
          <w:color w:val="000000"/>
        </w:rPr>
        <w:t>、</w:t>
      </w:r>
      <w:r>
        <w:rPr>
          <w:color w:val="000000"/>
        </w:rPr>
        <w:t>有信用的文旅企业，鼓励合理给予续贷支持。（责任单位：人行台州市中心支行、台州银保监分局、市金融办、市文</w:t>
      </w:r>
      <w:r>
        <w:rPr>
          <w:rFonts w:hint="eastAsia"/>
          <w:color w:val="000000"/>
        </w:rPr>
        <w:t>化</w:t>
      </w:r>
      <w:r>
        <w:rPr>
          <w:color w:val="000000"/>
        </w:rPr>
        <w:t>广</w:t>
      </w:r>
      <w:r>
        <w:rPr>
          <w:rFonts w:hint="eastAsia"/>
          <w:color w:val="000000"/>
        </w:rPr>
        <w:t>电</w:t>
      </w:r>
      <w:r>
        <w:rPr>
          <w:color w:val="000000"/>
        </w:rPr>
        <w:t>旅</w:t>
      </w:r>
      <w:r>
        <w:rPr>
          <w:rFonts w:hint="eastAsia"/>
          <w:color w:val="000000"/>
        </w:rPr>
        <w:t>游</w:t>
      </w:r>
      <w:r>
        <w:rPr>
          <w:color w:val="000000"/>
        </w:rPr>
        <w:t>体</w:t>
      </w:r>
      <w:r>
        <w:rPr>
          <w:rFonts w:hint="eastAsia"/>
          <w:color w:val="000000"/>
        </w:rPr>
        <w:t>育</w:t>
      </w:r>
      <w:r>
        <w:rPr>
          <w:color w:val="000000"/>
        </w:rPr>
        <w:t>局）</w:t>
      </w:r>
      <w:bookmarkStart w:id="4" w:name="_Hlk97749814"/>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rPr>
      </w:pPr>
      <w:r>
        <w:rPr>
          <w:color w:val="000000"/>
        </w:rPr>
        <w:t>34.</w:t>
      </w:r>
      <w:r>
        <w:rPr>
          <w:rFonts w:hint="eastAsia"/>
          <w:color w:val="000000"/>
        </w:rPr>
        <w:t xml:space="preserve"> </w:t>
      </w:r>
      <w:r>
        <w:rPr>
          <w:color w:val="000000"/>
        </w:rPr>
        <w:t>鼓励各级党政机关、企事业单位、社会团体组织的党建活动、工会活动、疗休养活动、会展活动、商务活动等，可按规定委托旅行社代理安排交通、住宿、餐饮、会务等服务事项</w:t>
      </w:r>
      <w:bookmarkEnd w:id="4"/>
      <w:r>
        <w:rPr>
          <w:color w:val="000000"/>
        </w:rPr>
        <w:t>，适度提高预付款比例。（责任单位：市文</w:t>
      </w:r>
      <w:r>
        <w:rPr>
          <w:rFonts w:hint="eastAsia"/>
          <w:color w:val="000000"/>
        </w:rPr>
        <w:t>化</w:t>
      </w:r>
      <w:r>
        <w:rPr>
          <w:color w:val="000000"/>
        </w:rPr>
        <w:t>广</w:t>
      </w:r>
      <w:r>
        <w:rPr>
          <w:rFonts w:hint="eastAsia"/>
          <w:color w:val="000000"/>
        </w:rPr>
        <w:t>电</w:t>
      </w:r>
      <w:r>
        <w:rPr>
          <w:color w:val="000000"/>
        </w:rPr>
        <w:t>旅</w:t>
      </w:r>
      <w:r>
        <w:rPr>
          <w:rFonts w:hint="eastAsia"/>
          <w:color w:val="000000"/>
        </w:rPr>
        <w:t>游</w:t>
      </w:r>
      <w:r>
        <w:rPr>
          <w:color w:val="000000"/>
        </w:rPr>
        <w:t>体</w:t>
      </w:r>
      <w:r>
        <w:rPr>
          <w:rFonts w:hint="eastAsia"/>
          <w:color w:val="000000"/>
        </w:rPr>
        <w:t>育</w:t>
      </w:r>
      <w:r>
        <w:rPr>
          <w:color w:val="000000"/>
        </w:rPr>
        <w:t>局、市总工会、市委直属机关工委、市商务局、市民政局、市财政局）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rPr>
      </w:pPr>
      <w:r>
        <w:rPr>
          <w:color w:val="000000"/>
        </w:rPr>
        <w:t>35.</w:t>
      </w:r>
      <w:r>
        <w:rPr>
          <w:rFonts w:hint="eastAsia"/>
          <w:color w:val="000000"/>
        </w:rPr>
        <w:t xml:space="preserve"> </w:t>
      </w:r>
      <w:r>
        <w:rPr>
          <w:color w:val="000000"/>
        </w:rPr>
        <w:t>按照疫情防控要求，在校外培训机构开放的同时，鼓励各级学校、教育机构在市内分年级段开展研学活动，支持符合条件的旅行社及相关合法登记的运营机构等承接研学服务业务。（责任单位：市文</w:t>
      </w:r>
      <w:r>
        <w:rPr>
          <w:rFonts w:hint="eastAsia"/>
          <w:color w:val="000000"/>
        </w:rPr>
        <w:t>化</w:t>
      </w:r>
      <w:r>
        <w:rPr>
          <w:color w:val="000000"/>
        </w:rPr>
        <w:t>广</w:t>
      </w:r>
      <w:r>
        <w:rPr>
          <w:rFonts w:hint="eastAsia"/>
          <w:color w:val="000000"/>
        </w:rPr>
        <w:t>电</w:t>
      </w:r>
      <w:r>
        <w:rPr>
          <w:color w:val="000000"/>
        </w:rPr>
        <w:t>旅</w:t>
      </w:r>
      <w:r>
        <w:rPr>
          <w:rFonts w:hint="eastAsia"/>
          <w:color w:val="000000"/>
        </w:rPr>
        <w:t>游</w:t>
      </w:r>
      <w:r>
        <w:rPr>
          <w:color w:val="000000"/>
        </w:rPr>
        <w:t>体</w:t>
      </w:r>
      <w:r>
        <w:rPr>
          <w:rFonts w:hint="eastAsia"/>
          <w:color w:val="000000"/>
        </w:rPr>
        <w:t>育</w:t>
      </w:r>
      <w:r>
        <w:rPr>
          <w:color w:val="000000"/>
        </w:rPr>
        <w:t>局、市教育局、市财政局）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rPr>
      </w:pPr>
      <w:r>
        <w:rPr>
          <w:color w:val="000000"/>
        </w:rPr>
        <w:t>36.</w:t>
      </w:r>
      <w:r>
        <w:rPr>
          <w:rFonts w:hint="eastAsia"/>
          <w:color w:val="000000"/>
        </w:rPr>
        <w:t xml:space="preserve"> </w:t>
      </w:r>
      <w:r>
        <w:rPr>
          <w:color w:val="000000"/>
        </w:rPr>
        <w:t>推进移动支付助力智慧文旅。设立500万</w:t>
      </w:r>
      <w:r>
        <w:rPr>
          <w:rFonts w:hint="eastAsia"/>
          <w:color w:val="000000"/>
        </w:rPr>
        <w:t>元</w:t>
      </w:r>
      <w:r>
        <w:rPr>
          <w:color w:val="000000"/>
        </w:rPr>
        <w:t>文旅消费</w:t>
      </w:r>
      <w:r>
        <w:rPr>
          <w:rFonts w:hint="eastAsia"/>
          <w:color w:val="000000"/>
        </w:rPr>
        <w:t>专项资金</w:t>
      </w:r>
      <w:r>
        <w:rPr>
          <w:color w:val="000000"/>
        </w:rPr>
        <w:t>，推动金融机构通过银行业移动支付渠道发放文化和旅游消费券，全面激发文旅消费活力。鼓励各县（市、区）加大对文旅消费支持力度，开展多种形式的文旅促消费活动。（责任单位：市文</w:t>
      </w:r>
      <w:r>
        <w:rPr>
          <w:rFonts w:hint="eastAsia"/>
          <w:color w:val="000000"/>
        </w:rPr>
        <w:t>化</w:t>
      </w:r>
      <w:r>
        <w:rPr>
          <w:color w:val="000000"/>
        </w:rPr>
        <w:t>广</w:t>
      </w:r>
      <w:r>
        <w:rPr>
          <w:rFonts w:hint="eastAsia"/>
          <w:color w:val="000000"/>
        </w:rPr>
        <w:t>电</w:t>
      </w:r>
      <w:r>
        <w:rPr>
          <w:color w:val="000000"/>
        </w:rPr>
        <w:t>旅</w:t>
      </w:r>
      <w:r>
        <w:rPr>
          <w:rFonts w:hint="eastAsia"/>
          <w:color w:val="000000"/>
        </w:rPr>
        <w:t>游</w:t>
      </w:r>
      <w:r>
        <w:rPr>
          <w:color w:val="000000"/>
        </w:rPr>
        <w:t>体</w:t>
      </w:r>
      <w:r>
        <w:rPr>
          <w:rFonts w:hint="eastAsia"/>
          <w:color w:val="000000"/>
        </w:rPr>
        <w:t>育</w:t>
      </w:r>
      <w:r>
        <w:rPr>
          <w:color w:val="000000"/>
        </w:rPr>
        <w:t>局、市财政局、人行台州市中心支行、台州银保监分局）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rPr>
      </w:pPr>
      <w:r>
        <w:rPr>
          <w:color w:val="000000"/>
        </w:rPr>
        <w:t>37.</w:t>
      </w:r>
      <w:r>
        <w:rPr>
          <w:rFonts w:hint="eastAsia"/>
          <w:color w:val="000000"/>
        </w:rPr>
        <w:t xml:space="preserve"> </w:t>
      </w:r>
      <w:r>
        <w:rPr>
          <w:color w:val="000000"/>
        </w:rPr>
        <w:t>在符合疫情防控要求的前提下，对旅行社组织台州市外旅游团队到台州跨县</w:t>
      </w:r>
      <w:r>
        <w:rPr>
          <w:rFonts w:hint="eastAsia"/>
          <w:color w:val="000000"/>
        </w:rPr>
        <w:t>（</w:t>
      </w:r>
      <w:r>
        <w:rPr>
          <w:color w:val="000000"/>
        </w:rPr>
        <w:t>市、区</w:t>
      </w:r>
      <w:r>
        <w:rPr>
          <w:rFonts w:hint="eastAsia"/>
          <w:color w:val="000000"/>
        </w:rPr>
        <w:t>）</w:t>
      </w:r>
      <w:r>
        <w:rPr>
          <w:color w:val="000000"/>
        </w:rPr>
        <w:t>旅游、组织浙江省外的旅游团队来台州疗休养以及包机专列来台旅游的，在《</w:t>
      </w:r>
      <w:r>
        <w:rPr>
          <w:rFonts w:hint="eastAsia"/>
          <w:color w:val="000000"/>
        </w:rPr>
        <w:t>台州市文化和广电旅游体育局关于印发&lt;</w:t>
      </w:r>
      <w:r>
        <w:rPr>
          <w:color w:val="000000"/>
        </w:rPr>
        <w:t>台州市游客招徕奖励办法（试行）</w:t>
      </w:r>
      <w:r>
        <w:rPr>
          <w:rFonts w:hint="eastAsia"/>
          <w:color w:val="000000"/>
        </w:rPr>
        <w:t>&gt;的通知</w:t>
      </w:r>
      <w:r>
        <w:rPr>
          <w:color w:val="000000"/>
        </w:rPr>
        <w:t>》（台文发〔2021〕82号）基础上奖励幅度上浮50%。（责任单位：市文</w:t>
      </w:r>
      <w:r>
        <w:rPr>
          <w:rFonts w:hint="eastAsia"/>
          <w:color w:val="000000"/>
        </w:rPr>
        <w:t>化</w:t>
      </w:r>
      <w:r>
        <w:rPr>
          <w:color w:val="000000"/>
        </w:rPr>
        <w:t>广</w:t>
      </w:r>
      <w:r>
        <w:rPr>
          <w:rFonts w:hint="eastAsia"/>
          <w:color w:val="000000"/>
        </w:rPr>
        <w:t>电</w:t>
      </w:r>
      <w:r>
        <w:rPr>
          <w:color w:val="000000"/>
        </w:rPr>
        <w:t>旅</w:t>
      </w:r>
      <w:r>
        <w:rPr>
          <w:rFonts w:hint="eastAsia"/>
          <w:color w:val="000000"/>
        </w:rPr>
        <w:t>游</w:t>
      </w:r>
      <w:r>
        <w:rPr>
          <w:color w:val="000000"/>
        </w:rPr>
        <w:t>体</w:t>
      </w:r>
      <w:r>
        <w:rPr>
          <w:rFonts w:hint="eastAsia"/>
          <w:color w:val="000000"/>
        </w:rPr>
        <w:t>育</w:t>
      </w:r>
      <w:r>
        <w:rPr>
          <w:color w:val="000000"/>
        </w:rPr>
        <w:t>局、市财政局）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rFonts w:eastAsia="楷体_GB2312"/>
          <w:color w:val="000000"/>
          <w:kern w:val="44"/>
        </w:rPr>
      </w:pPr>
      <w:r>
        <w:rPr>
          <w:rFonts w:eastAsia="楷体_GB2312"/>
          <w:color w:val="000000"/>
          <w:kern w:val="44"/>
        </w:rPr>
        <w:t>（四）交通运输及航空业</w:t>
      </w:r>
      <w:r>
        <w:rPr>
          <w:rFonts w:hint="eastAsia" w:eastAsia="楷体_GB2312"/>
          <w:color w:val="000000"/>
          <w:kern w:val="44"/>
        </w:rPr>
        <w:t>。</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rPr>
      </w:pPr>
      <w:r>
        <w:rPr>
          <w:color w:val="000000"/>
        </w:rPr>
        <w:t>38.</w:t>
      </w:r>
      <w:r>
        <w:rPr>
          <w:rFonts w:hint="eastAsia"/>
          <w:color w:val="000000"/>
        </w:rPr>
        <w:t xml:space="preserve"> </w:t>
      </w:r>
      <w:r>
        <w:rPr>
          <w:color w:val="000000"/>
        </w:rPr>
        <w:t>暂停铁路</w:t>
      </w:r>
      <w:r>
        <w:rPr>
          <w:rFonts w:hint="eastAsia"/>
          <w:color w:val="000000"/>
        </w:rPr>
        <w:t>运输企业</w:t>
      </w:r>
      <w:r>
        <w:rPr>
          <w:color w:val="000000"/>
        </w:rPr>
        <w:t>、航空运输企业预缴增值税。（责任单位：市税务局）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highlight w:val="lightGray"/>
        </w:rPr>
      </w:pPr>
      <w:r>
        <w:rPr>
          <w:color w:val="000000"/>
        </w:rPr>
        <w:t>39.</w:t>
      </w:r>
      <w:r>
        <w:rPr>
          <w:rFonts w:hint="eastAsia"/>
          <w:color w:val="000000"/>
        </w:rPr>
        <w:t xml:space="preserve"> </w:t>
      </w:r>
      <w:r>
        <w:rPr>
          <w:color w:val="000000"/>
        </w:rPr>
        <w:t>免征轮客渡、公交客运、出租车、长途客运、班车等公共交通运输服务增值税。（责任单位：市税务局）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highlight w:val="lightGray"/>
        </w:rPr>
      </w:pPr>
      <w:r>
        <w:rPr>
          <w:color w:val="000000"/>
        </w:rPr>
        <w:t>40.</w:t>
      </w:r>
      <w:r>
        <w:rPr>
          <w:rFonts w:hint="eastAsia"/>
          <w:color w:val="000000"/>
        </w:rPr>
        <w:t xml:space="preserve"> 各县（市、区）</w:t>
      </w:r>
      <w:r>
        <w:rPr>
          <w:color w:val="000000"/>
        </w:rPr>
        <w:t>合理安排中央对地方转移支付的7800万元城市交通发展奖励资金、农村客运补贴资金等，用于困难新能源出租车补贴、城市公交新能源运营补贴、农村客运补贴等支出。（责任单位：市交通运输局、市财政局）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pPr>
      <w:r>
        <w:t>41.</w:t>
      </w:r>
      <w:r>
        <w:rPr>
          <w:rFonts w:hint="eastAsia"/>
        </w:rPr>
        <w:t xml:space="preserve"> </w:t>
      </w:r>
      <w:r>
        <w:rPr>
          <w:rFonts w:hAnsi="仿宋_GB2312"/>
        </w:rPr>
        <w:t>推广高速公路差异化收费。对合法装载国际标准集装箱运输专用车辆，落实高速公路通行费</w:t>
      </w:r>
      <w:r>
        <w:t>6.5</w:t>
      </w:r>
      <w:r>
        <w:rPr>
          <w:rFonts w:hAnsi="仿宋_GB2312"/>
        </w:rPr>
        <w:t>折优惠政策。对使用浙江省发行的电子不停车收费（</w:t>
      </w:r>
      <w:r>
        <w:t>ETC</w:t>
      </w:r>
      <w:r>
        <w:rPr>
          <w:rFonts w:hAnsi="仿宋_GB2312"/>
        </w:rPr>
        <w:t>）车载装置的合法装载货运车辆，实行市属及县（市、区）属国有全资或控股的高速公路路段通行费</w:t>
      </w:r>
      <w:r>
        <w:t>8.5</w:t>
      </w:r>
      <w:r>
        <w:rPr>
          <w:rFonts w:hAnsi="仿宋_GB2312"/>
        </w:rPr>
        <w:t>折优惠政策。（责任单位：市交通运输局、市发展改革委、市财政局、市市场监管局、市交投集团）</w:t>
      </w:r>
    </w:p>
    <w:p>
      <w:pPr>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color w:val="000000"/>
          <w:spacing w:val="6"/>
          <w:highlight w:val="lightGray"/>
        </w:rPr>
      </w:pPr>
      <w:r>
        <w:rPr>
          <w:color w:val="000000"/>
        </w:rPr>
        <w:t>42.</w:t>
      </w:r>
      <w:r>
        <w:rPr>
          <w:rFonts w:hint="eastAsia"/>
          <w:color w:val="000000"/>
        </w:rPr>
        <w:t xml:space="preserve"> </w:t>
      </w:r>
      <w:r>
        <w:rPr>
          <w:color w:val="000000"/>
        </w:rPr>
        <w:t>积极争取民航发展基金等对我市机场运营、安全能力建设等补贴，对民航基础设施进行贷款贴息，对机场等相关项目建设进行投资补助。（责任单位：市民航事务中心、市财政局）</w:t>
      </w:r>
    </w:p>
    <w:p>
      <w:pPr>
        <w:pStyle w:val="4"/>
        <w:keepNext w:val="0"/>
        <w:keepLines w:val="0"/>
        <w:pageBreakBefore w:val="0"/>
        <w:widowControl w:val="0"/>
        <w:kinsoku/>
        <w:wordWrap/>
        <w:overflowPunct/>
        <w:topLinePunct w:val="0"/>
        <w:autoSpaceDE/>
        <w:autoSpaceDN/>
        <w:bidi w:val="0"/>
        <w:spacing w:line="600" w:lineRule="exact"/>
        <w:ind w:firstLine="656" w:firstLineChars="200"/>
        <w:jc w:val="both"/>
        <w:textAlignment w:val="auto"/>
        <w:rPr>
          <w:rFonts w:eastAsia="楷体_GB2312"/>
          <w:color w:val="000000"/>
          <w:spacing w:val="6"/>
          <w:sz w:val="32"/>
          <w:szCs w:val="32"/>
        </w:rPr>
      </w:pPr>
      <w:r>
        <w:rPr>
          <w:rFonts w:eastAsia="楷体_GB2312"/>
          <w:color w:val="000000"/>
          <w:spacing w:val="6"/>
          <w:sz w:val="32"/>
          <w:szCs w:val="32"/>
        </w:rPr>
        <w:t>（五）其他服务业</w:t>
      </w:r>
      <w:r>
        <w:rPr>
          <w:rFonts w:hint="eastAsia" w:eastAsia="楷体_GB2312"/>
          <w:color w:val="000000"/>
          <w:spacing w:val="6"/>
          <w:sz w:val="32"/>
          <w:szCs w:val="32"/>
        </w:rPr>
        <w:t>。</w:t>
      </w:r>
    </w:p>
    <w:p>
      <w:pPr>
        <w:pStyle w:val="13"/>
        <w:keepNext w:val="0"/>
        <w:keepLines w:val="0"/>
        <w:pageBreakBefore w:val="0"/>
        <w:widowControl w:val="0"/>
        <w:kinsoku/>
        <w:wordWrap/>
        <w:overflowPunct/>
        <w:topLinePunct w:val="0"/>
        <w:autoSpaceDE/>
        <w:autoSpaceDN/>
        <w:bidi w:val="0"/>
        <w:spacing w:after="0" w:line="600" w:lineRule="exact"/>
        <w:ind w:firstLine="632" w:firstLineChars="200"/>
        <w:jc w:val="both"/>
        <w:textAlignment w:val="auto"/>
        <w:rPr>
          <w:bCs/>
          <w:color w:val="000000"/>
          <w:szCs w:val="32"/>
        </w:rPr>
      </w:pPr>
      <w:r>
        <w:rPr>
          <w:bCs/>
          <w:color w:val="000000"/>
          <w:szCs w:val="32"/>
        </w:rPr>
        <w:t>43.</w:t>
      </w:r>
      <w:r>
        <w:rPr>
          <w:rFonts w:hint="eastAsia"/>
          <w:bCs/>
          <w:color w:val="000000"/>
          <w:szCs w:val="32"/>
        </w:rPr>
        <w:t xml:space="preserve"> </w:t>
      </w:r>
      <w:r>
        <w:rPr>
          <w:bCs/>
          <w:color w:val="000000"/>
          <w:szCs w:val="32"/>
        </w:rPr>
        <w:t>对因疫情防控强制性要求或临时限制措施而关闭的书店、健身房、民营剧团、线下教育培训场所及其他人员密集服务业场所等，鼓励各地给予适当支持，具体办法由各地另行制定；因上述原因关停的网吧经营主体，给予减免网费或延长同等时段的服务期限等优惠。（责任单位：市文</w:t>
      </w:r>
      <w:r>
        <w:rPr>
          <w:rFonts w:hint="eastAsia"/>
          <w:bCs/>
          <w:color w:val="000000"/>
          <w:szCs w:val="32"/>
        </w:rPr>
        <w:t>化</w:t>
      </w:r>
      <w:r>
        <w:rPr>
          <w:bCs/>
          <w:color w:val="000000"/>
          <w:szCs w:val="32"/>
        </w:rPr>
        <w:t>广</w:t>
      </w:r>
      <w:r>
        <w:rPr>
          <w:rFonts w:hint="eastAsia"/>
          <w:bCs/>
          <w:color w:val="000000"/>
          <w:szCs w:val="32"/>
        </w:rPr>
        <w:t>电</w:t>
      </w:r>
      <w:r>
        <w:rPr>
          <w:bCs/>
          <w:color w:val="000000"/>
          <w:szCs w:val="32"/>
        </w:rPr>
        <w:t>旅</w:t>
      </w:r>
      <w:r>
        <w:rPr>
          <w:rFonts w:hint="eastAsia"/>
          <w:bCs/>
          <w:color w:val="000000"/>
          <w:szCs w:val="32"/>
        </w:rPr>
        <w:t>游</w:t>
      </w:r>
      <w:r>
        <w:rPr>
          <w:bCs/>
          <w:color w:val="000000"/>
          <w:szCs w:val="32"/>
        </w:rPr>
        <w:t>体</w:t>
      </w:r>
      <w:r>
        <w:rPr>
          <w:rFonts w:hint="eastAsia"/>
          <w:bCs/>
          <w:color w:val="000000"/>
          <w:szCs w:val="32"/>
        </w:rPr>
        <w:t>育</w:t>
      </w:r>
      <w:r>
        <w:rPr>
          <w:bCs/>
          <w:color w:val="000000"/>
          <w:szCs w:val="32"/>
        </w:rPr>
        <w:t>局、市委宣传部、市教育局、市体育事业发展中心、市财政局、市通信发展办）</w:t>
      </w:r>
    </w:p>
    <w:p>
      <w:pPr>
        <w:pStyle w:val="13"/>
        <w:keepNext w:val="0"/>
        <w:keepLines w:val="0"/>
        <w:pageBreakBefore w:val="0"/>
        <w:widowControl w:val="0"/>
        <w:kinsoku/>
        <w:wordWrap/>
        <w:overflowPunct/>
        <w:topLinePunct w:val="0"/>
        <w:autoSpaceDE/>
        <w:autoSpaceDN/>
        <w:bidi w:val="0"/>
        <w:spacing w:after="0" w:line="600" w:lineRule="exact"/>
        <w:ind w:firstLine="632" w:firstLineChars="200"/>
        <w:jc w:val="both"/>
        <w:textAlignment w:val="auto"/>
        <w:rPr>
          <w:bCs/>
          <w:color w:val="000000"/>
          <w:szCs w:val="32"/>
        </w:rPr>
      </w:pPr>
      <w:r>
        <w:rPr>
          <w:bCs/>
          <w:color w:val="000000"/>
          <w:szCs w:val="32"/>
        </w:rPr>
        <w:t>44.</w:t>
      </w:r>
      <w:r>
        <w:rPr>
          <w:rFonts w:hint="eastAsia"/>
          <w:bCs/>
          <w:color w:val="000000"/>
          <w:szCs w:val="32"/>
        </w:rPr>
        <w:t xml:space="preserve"> </w:t>
      </w:r>
      <w:r>
        <w:rPr>
          <w:bCs/>
          <w:color w:val="000000"/>
          <w:szCs w:val="32"/>
        </w:rPr>
        <w:t>研究制定影院纾困解难的政策措施。对全市影院按每个座位每月给予25元的补助，以因疫情关停时间为限，补助不超过3个月</w:t>
      </w:r>
      <w:r>
        <w:rPr>
          <w:rFonts w:hint="eastAsia"/>
          <w:bCs/>
          <w:color w:val="000000"/>
          <w:szCs w:val="32"/>
        </w:rPr>
        <w:t>。</w:t>
      </w:r>
      <w:r>
        <w:rPr>
          <w:bCs/>
          <w:color w:val="000000"/>
          <w:szCs w:val="32"/>
        </w:rPr>
        <w:t>待影院复工复产后，进一步鼓励机关企事业单位通过党日活动、工会活动、团建等形式开展观影活动，切实增加影院上座率。（责任单位：市委宣传部、市财政局、市委直属机关工委、市总工会、团市委）</w:t>
      </w:r>
    </w:p>
    <w:p>
      <w:pPr>
        <w:pStyle w:val="13"/>
        <w:keepNext w:val="0"/>
        <w:keepLines w:val="0"/>
        <w:pageBreakBefore w:val="0"/>
        <w:widowControl w:val="0"/>
        <w:kinsoku/>
        <w:wordWrap/>
        <w:overflowPunct/>
        <w:topLinePunct w:val="0"/>
        <w:autoSpaceDE/>
        <w:autoSpaceDN/>
        <w:bidi w:val="0"/>
        <w:spacing w:after="0" w:line="600" w:lineRule="exact"/>
        <w:ind w:firstLine="632" w:firstLineChars="200"/>
        <w:jc w:val="both"/>
        <w:textAlignment w:val="auto"/>
        <w:rPr>
          <w:bCs/>
          <w:color w:val="000000"/>
          <w:szCs w:val="32"/>
        </w:rPr>
      </w:pPr>
      <w:r>
        <w:rPr>
          <w:bCs/>
          <w:color w:val="000000"/>
          <w:szCs w:val="32"/>
        </w:rPr>
        <w:t>45.</w:t>
      </w:r>
      <w:r>
        <w:rPr>
          <w:rFonts w:hint="eastAsia"/>
          <w:bCs/>
          <w:color w:val="000000"/>
          <w:szCs w:val="32"/>
        </w:rPr>
        <w:t xml:space="preserve"> </w:t>
      </w:r>
      <w:r>
        <w:rPr>
          <w:bCs/>
          <w:color w:val="000000"/>
          <w:szCs w:val="32"/>
        </w:rPr>
        <w:t>2022年上半年因疫情原因无法延期而被取消的，已纳入省市展会目录的，按照该展</w:t>
      </w:r>
      <w:r>
        <w:rPr>
          <w:rFonts w:hint="eastAsia"/>
          <w:bCs/>
          <w:color w:val="000000"/>
          <w:szCs w:val="32"/>
        </w:rPr>
        <w:t>会</w:t>
      </w:r>
      <w:r>
        <w:rPr>
          <w:bCs/>
          <w:color w:val="000000"/>
          <w:szCs w:val="32"/>
        </w:rPr>
        <w:t>项目主办方实际支出成本的30%、最高30万元标准给予补助。具体操作办法由市商务局制定，属地落实。（责任单位：市商务局、市财政局）</w:t>
      </w:r>
    </w:p>
    <w:p>
      <w:pPr>
        <w:keepNext w:val="0"/>
        <w:keepLines w:val="0"/>
        <w:pageBreakBefore w:val="0"/>
        <w:widowControl w:val="0"/>
        <w:kinsoku/>
        <w:wordWrap/>
        <w:overflowPunct/>
        <w:topLinePunct w:val="0"/>
        <w:autoSpaceDE/>
        <w:autoSpaceDN/>
        <w:bidi w:val="0"/>
        <w:adjustRightInd w:val="0"/>
        <w:spacing w:line="600" w:lineRule="exact"/>
        <w:ind w:firstLine="632" w:firstLineChars="200"/>
        <w:jc w:val="both"/>
        <w:textAlignment w:val="auto"/>
        <w:outlineLvl w:val="0"/>
        <w:rPr>
          <w:rFonts w:eastAsia="黑体"/>
          <w:color w:val="000000"/>
        </w:rPr>
      </w:pPr>
      <w:r>
        <w:rPr>
          <w:rFonts w:eastAsia="黑体"/>
          <w:color w:val="000000"/>
        </w:rPr>
        <w:t>三、强化助企纾困服务保障</w:t>
      </w:r>
    </w:p>
    <w:p>
      <w:pPr>
        <w:pStyle w:val="3"/>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46.</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加快兑现产业扶持资金。全面落实上级各项有关涉企纾困扶持政策，加快涉企专项资金执行进度，强化产业发展专项资金引导和激励作用，力争上半年</w:t>
      </w:r>
      <w:r>
        <w:rPr>
          <w:rFonts w:hint="eastAsia" w:ascii="Times New Roman" w:hAnsi="Times New Roman" w:eastAsia="仿宋_GB2312"/>
          <w:color w:val="000000"/>
          <w:sz w:val="32"/>
          <w:szCs w:val="32"/>
        </w:rPr>
        <w:t>惠</w:t>
      </w:r>
      <w:r>
        <w:rPr>
          <w:rFonts w:ascii="Times New Roman" w:hAnsi="Times New Roman" w:eastAsia="仿宋_GB2312"/>
          <w:color w:val="000000"/>
          <w:sz w:val="32"/>
          <w:szCs w:val="32"/>
        </w:rPr>
        <w:t>企支出</w:t>
      </w:r>
      <w:r>
        <w:rPr>
          <w:rFonts w:hint="eastAsia" w:ascii="Times New Roman" w:hAnsi="Times New Roman" w:eastAsia="仿宋_GB2312"/>
          <w:color w:val="000000"/>
          <w:sz w:val="32"/>
          <w:szCs w:val="32"/>
        </w:rPr>
        <w:t>进度</w:t>
      </w:r>
      <w:r>
        <w:rPr>
          <w:rFonts w:ascii="Times New Roman" w:hAnsi="Times New Roman" w:eastAsia="仿宋_GB2312"/>
          <w:color w:val="000000"/>
          <w:sz w:val="32"/>
          <w:szCs w:val="32"/>
        </w:rPr>
        <w:t>达60%，缓解企业资金周转压力。（责任单位：市财政局</w:t>
      </w:r>
      <w:r>
        <w:rPr>
          <w:rFonts w:hint="eastAsia" w:ascii="Times New Roman" w:hAnsi="Times New Roman" w:eastAsia="仿宋_GB2312"/>
          <w:color w:val="000000"/>
          <w:sz w:val="32"/>
          <w:szCs w:val="32"/>
        </w:rPr>
        <w:t>及</w:t>
      </w:r>
      <w:r>
        <w:rPr>
          <w:rFonts w:ascii="Times New Roman" w:hAnsi="Times New Roman" w:eastAsia="仿宋_GB2312"/>
          <w:color w:val="000000"/>
          <w:sz w:val="32"/>
          <w:szCs w:val="32"/>
        </w:rPr>
        <w:t>各涉企资金主管部门）</w:t>
      </w:r>
    </w:p>
    <w:p>
      <w:pPr>
        <w:pStyle w:val="3"/>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47.</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加强企业信用修复。对受疫情影响，无法按时办理相关证照及行政审批事项的企业，可申请延迟办理，相关延迟行为不纳入信用记录，已纳入信用记录的，可申请信用修复。（责任单位：市市场监管局）</w:t>
      </w:r>
    </w:p>
    <w:p>
      <w:pPr>
        <w:keepNext w:val="0"/>
        <w:keepLines w:val="0"/>
        <w:pageBreakBefore w:val="0"/>
        <w:widowControl w:val="0"/>
        <w:kinsoku/>
        <w:wordWrap/>
        <w:overflowPunct/>
        <w:topLinePunct w:val="0"/>
        <w:autoSpaceDE/>
        <w:autoSpaceDN/>
        <w:bidi w:val="0"/>
        <w:adjustRightInd w:val="0"/>
        <w:spacing w:line="600" w:lineRule="exact"/>
        <w:ind w:firstLine="632" w:firstLineChars="200"/>
        <w:jc w:val="both"/>
        <w:textAlignment w:val="auto"/>
        <w:outlineLvl w:val="0"/>
        <w:rPr>
          <w:color w:val="000000"/>
        </w:rPr>
      </w:pPr>
      <w:r>
        <w:rPr>
          <w:color w:val="000000"/>
        </w:rPr>
        <w:t>48.</w:t>
      </w:r>
      <w:r>
        <w:rPr>
          <w:rFonts w:hint="eastAsia"/>
          <w:color w:val="000000"/>
        </w:rPr>
        <w:t xml:space="preserve"> </w:t>
      </w:r>
      <w:r>
        <w:rPr>
          <w:color w:val="000000"/>
        </w:rPr>
        <w:t>实施乱收费、乱摊派、乱罚款专项整治行动。有序开展企业缴费负担定点</w:t>
      </w:r>
      <w:r>
        <w:rPr>
          <w:rFonts w:hint="eastAsia" w:ascii="仿宋_GB2312"/>
          <w:color w:val="000000"/>
        </w:rPr>
        <w:t>监测，有效规范涉企收费行为，完善整治涉企乱收费协同治理和联合惩戒机制，防止对服务业的各项助企纾困政策效果被“三乱”抵消。（责任单位：市财政局、市市场监管局、市发展改革委、市经信</w:t>
      </w:r>
      <w:r>
        <w:rPr>
          <w:color w:val="000000"/>
        </w:rPr>
        <w:t>局）</w:t>
      </w:r>
    </w:p>
    <w:p>
      <w:pPr>
        <w:keepNext w:val="0"/>
        <w:keepLines w:val="0"/>
        <w:pageBreakBefore w:val="0"/>
        <w:widowControl w:val="0"/>
        <w:tabs>
          <w:tab w:val="left" w:pos="4395"/>
        </w:tabs>
        <w:kinsoku/>
        <w:wordWrap/>
        <w:overflowPunct/>
        <w:topLinePunct w:val="0"/>
        <w:autoSpaceDE/>
        <w:autoSpaceDN/>
        <w:bidi w:val="0"/>
        <w:adjustRightInd w:val="0"/>
        <w:snapToGrid w:val="0"/>
        <w:spacing w:line="600" w:lineRule="exact"/>
        <w:ind w:firstLine="632" w:firstLineChars="200"/>
        <w:jc w:val="both"/>
        <w:textAlignment w:val="auto"/>
        <w:rPr>
          <w:color w:val="000000"/>
        </w:rPr>
      </w:pPr>
      <w:r>
        <w:rPr>
          <w:color w:val="000000"/>
        </w:rPr>
        <w:t>49.</w:t>
      </w:r>
      <w:r>
        <w:rPr>
          <w:rFonts w:hint="eastAsia"/>
          <w:color w:val="000000"/>
        </w:rPr>
        <w:t xml:space="preserve"> </w:t>
      </w:r>
      <w:r>
        <w:rPr>
          <w:color w:val="000000"/>
        </w:rPr>
        <w:t>落实精准防</w:t>
      </w:r>
      <w:r>
        <w:rPr>
          <w:rFonts w:hint="eastAsia" w:ascii="仿宋_GB2312"/>
          <w:color w:val="000000"/>
        </w:rPr>
        <w:t>控。按照“四个精准”“八个不得”要求，加强常态化疫情防控，坚决防止和避免“放松防控”和“过度防控”两种倾向，有效扶持和保持服务业发展正常秩序。针对服务业特点，进一步健全疫情防控措施，强</w:t>
      </w:r>
      <w:r>
        <w:rPr>
          <w:color w:val="000000"/>
        </w:rPr>
        <w:t>化层层加码问题反映、核实、纠正专项工作机制。</w:t>
      </w:r>
    </w:p>
    <w:p>
      <w:pPr>
        <w:pStyle w:val="3"/>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rFonts w:ascii="Times New Roman" w:hAnsi="Times New Roman" w:eastAsia="仿宋_GB2312"/>
          <w:b/>
          <w:bCs/>
          <w:color w:val="000000"/>
          <w:sz w:val="32"/>
          <w:szCs w:val="32"/>
          <w:highlight w:val="lightGray"/>
        </w:rPr>
      </w:pPr>
      <w:r>
        <w:rPr>
          <w:rFonts w:ascii="Times New Roman" w:hAnsi="Times New Roman" w:eastAsia="仿宋_GB2312"/>
          <w:color w:val="000000"/>
          <w:sz w:val="32"/>
          <w:szCs w:val="32"/>
        </w:rPr>
        <w:t>50.</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加快政策落地见效。市级各相关部门要加强与省级部门沟通联系，抓紧出台具体政策实施细则或操作办法。强化政策宣传解读，及时回应社会关切。</w:t>
      </w:r>
    </w:p>
    <w:p>
      <w:pPr>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rFonts w:ascii="方正小标宋简体" w:eastAsia="方正小标宋简体"/>
          <w:sz w:val="44"/>
          <w:szCs w:val="44"/>
        </w:rPr>
      </w:pPr>
      <w:r>
        <w:rPr>
          <w:color w:val="000000"/>
        </w:rPr>
        <w:t>本</w:t>
      </w:r>
      <w:r>
        <w:rPr>
          <w:rFonts w:hint="eastAsia"/>
          <w:color w:val="000000"/>
        </w:rPr>
        <w:t>政策</w:t>
      </w:r>
      <w:r>
        <w:rPr>
          <w:color w:val="000000"/>
        </w:rPr>
        <w:t>自印发之日起实施，</w:t>
      </w:r>
      <w:r>
        <w:rPr>
          <w:rFonts w:hint="eastAsia" w:ascii="仿宋_GB2312" w:hAnsi="仿宋_GB2312" w:cs="仿宋_GB2312"/>
          <w:color w:val="000000"/>
        </w:rPr>
        <w:t>除已另外明确期限的政策外，</w:t>
      </w:r>
      <w:r>
        <w:rPr>
          <w:color w:val="000000"/>
        </w:rPr>
        <w:t>执行期限至2022年12月31日。中央</w:t>
      </w:r>
      <w:r>
        <w:rPr>
          <w:rFonts w:hint="eastAsia"/>
          <w:color w:val="000000"/>
        </w:rPr>
        <w:t>和</w:t>
      </w:r>
      <w:r>
        <w:rPr>
          <w:color w:val="000000"/>
        </w:rPr>
        <w:t>省有出台新的支持政策，一并遵照执行。</w:t>
      </w:r>
    </w:p>
    <w:p>
      <w:pPr>
        <w:spacing w:line="600" w:lineRule="exact"/>
        <w:ind w:left="1624" w:leftChars="100" w:hanging="1308" w:hangingChars="300"/>
        <w:jc w:val="left"/>
        <w:rPr>
          <w:rFonts w:ascii="方正小标宋简体" w:eastAsia="方正小标宋简体"/>
          <w:sz w:val="44"/>
          <w:szCs w:val="44"/>
        </w:rPr>
      </w:pPr>
    </w:p>
    <w:p>
      <w:pPr>
        <w:spacing w:line="600" w:lineRule="exact"/>
        <w:ind w:left="1624" w:leftChars="100" w:hanging="1308" w:hangingChars="300"/>
        <w:jc w:val="left"/>
        <w:rPr>
          <w:rFonts w:ascii="方正小标宋简体" w:eastAsia="方正小标宋简体"/>
          <w:sz w:val="44"/>
          <w:szCs w:val="44"/>
        </w:rPr>
      </w:pPr>
      <w:r>
        <w:rPr>
          <w:rFonts w:ascii="方正小标宋简体" w:eastAsia="方正小标宋简体"/>
          <w:sz w:val="44"/>
          <w:szCs w:val="44"/>
        </w:rPr>
        <w:br w:type="page"/>
      </w:r>
    </w:p>
    <w:p>
      <w:pPr>
        <w:spacing w:line="600" w:lineRule="exact"/>
        <w:ind w:left="1624" w:leftChars="100" w:hanging="1308" w:hangingChars="300"/>
        <w:jc w:val="left"/>
        <w:rPr>
          <w:rFonts w:ascii="方正小标宋简体" w:eastAsia="方正小标宋简体"/>
          <w:sz w:val="44"/>
          <w:szCs w:val="44"/>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1240" w:leftChars="100" w:hanging="924" w:hangingChars="300"/>
        <w:jc w:val="left"/>
        <w:rPr>
          <w:rFonts w:hint="eastAsia"/>
          <w:spacing w:val="-4"/>
          <w:szCs w:val="32"/>
        </w:rPr>
      </w:pPr>
    </w:p>
    <w:p>
      <w:pPr>
        <w:ind w:left="1240" w:leftChars="100" w:hanging="924" w:hangingChars="300"/>
        <w:jc w:val="left"/>
        <w:rPr>
          <w:spacing w:val="-4"/>
          <w:szCs w:val="32"/>
        </w:rPr>
      </w:pPr>
    </w:p>
    <w:p>
      <w:pPr>
        <w:ind w:left="1240" w:leftChars="100" w:hanging="924" w:hangingChars="300"/>
        <w:jc w:val="left"/>
        <w:rPr>
          <w:spacing w:val="-4"/>
          <w:szCs w:val="32"/>
        </w:rPr>
      </w:pPr>
    </w:p>
    <w:p>
      <w:pPr>
        <w:ind w:left="316" w:leftChars="100" w:right="316" w:rightChars="100"/>
        <w:jc w:val="left"/>
        <w:rPr>
          <w:sz w:val="28"/>
          <w:szCs w:val="28"/>
        </w:rPr>
      </w:pPr>
      <w:r>
        <w:rPr>
          <w:sz w:val="28"/>
          <w:szCs w:val="28"/>
        </w:rPr>
        <w:pict>
          <v:line id="_x0000_s1065" o:spid="_x0000_s1065" o:spt="20" style="position:absolute;left:0pt;margin-left:0pt;margin-top:4.2pt;height:0pt;width:442.4pt;z-index:251662336;mso-width-relative:page;mso-height-relative:page;" coordsize="21600,21600">
            <v:path arrowok="t"/>
            <v:fill focussize="0,0"/>
            <v:stroke weight="1.5pt"/>
            <v:imagedata o:title=""/>
            <o:lock v:ext="edit"/>
          </v:line>
        </w:pict>
      </w:r>
      <w:r>
        <w:rPr>
          <w:rFonts w:hint="eastAsia"/>
          <w:sz w:val="28"/>
          <w:szCs w:val="28"/>
        </w:rPr>
        <w:t>抄送：市委各部门，市人大常委会、市政协办公室，军分区，市监委，</w:t>
      </w:r>
    </w:p>
    <w:p>
      <w:pPr>
        <w:ind w:left="1140" w:leftChars="361"/>
        <w:jc w:val="left"/>
        <w:rPr>
          <w:sz w:val="28"/>
          <w:szCs w:val="28"/>
        </w:rPr>
      </w:pPr>
      <w:r>
        <w:rPr>
          <w:rFonts w:hint="eastAsia"/>
          <w:sz w:val="28"/>
          <w:szCs w:val="28"/>
        </w:rPr>
        <w:t>市法院，市检察院。</w:t>
      </w:r>
    </w:p>
    <w:p>
      <w:pPr>
        <w:ind w:left="316" w:leftChars="100" w:right="316" w:rightChars="100"/>
        <w:jc w:val="left"/>
      </w:pPr>
      <w:r>
        <w:pict>
          <v:shape id="_x0000_s1066" o:spid="_x0000_s1066" o:spt="75" type="#_x0000_t75" style="position:absolute;left:0pt;margin-left:299.1pt;margin-top:33.1pt;height:40.5pt;width:141pt;z-index:251663360;mso-width-relative:page;mso-height-relative:page;" filled="f" o:preferrelative="t" stroked="f" coordsize="21600,21600">
            <v:path/>
            <v:fill on="f" focussize="0,0"/>
            <v:stroke on="f"/>
            <v:imagedata r:id="rId6" o:title=""/>
            <o:lock v:ext="edit" aspectratio="t"/>
          </v:shape>
        </w:pict>
      </w:r>
      <w:r>
        <w:rPr>
          <w:sz w:val="28"/>
          <w:szCs w:val="28"/>
        </w:rPr>
        <w:pict>
          <v:line id="_x0000_s1064" o:spid="_x0000_s1064" o:spt="20" style="position:absolute;left:0pt;margin-left:0pt;margin-top:0pt;height:0pt;width:442.4pt;z-index:251661312;mso-width-relative:page;mso-height-relative:page;" coordsize="21600,21600">
            <v:path arrowok="t"/>
            <v:fill focussize="0,0"/>
            <v:stroke/>
            <v:imagedata o:title=""/>
            <o:lock v:ext="edit"/>
          </v:line>
        </w:pict>
      </w:r>
      <w:r>
        <w:rPr>
          <w:sz w:val="28"/>
          <w:szCs w:val="28"/>
        </w:rPr>
        <w:pict>
          <v:line id="_x0000_s1063" o:spid="_x0000_s1063" o:spt="20" style="position:absolute;left:0pt;margin-left:0pt;margin-top:29.9pt;height:0pt;width:442.4pt;z-index:251660288;mso-width-relative:page;mso-height-relative:page;" coordsize="21600,21600">
            <v:path arrowok="t"/>
            <v:fill focussize="0,0"/>
            <v:stroke weight="1.5pt"/>
            <v:imagedata o:title=""/>
            <o:lock v:ext="edit"/>
          </v:line>
        </w:pict>
      </w:r>
      <w:r>
        <w:rPr>
          <w:rFonts w:hint="eastAsia"/>
          <w:sz w:val="28"/>
          <w:szCs w:val="28"/>
        </w:rPr>
        <w:t>台州市人民政府办公室</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20</w:t>
      </w:r>
      <w:r>
        <w:rPr>
          <w:rFonts w:hint="eastAsia"/>
          <w:sz w:val="28"/>
          <w:szCs w:val="28"/>
        </w:rPr>
        <w:t>22年4月</w:t>
      </w:r>
      <w:r>
        <w:rPr>
          <w:rFonts w:hint="eastAsia"/>
          <w:sz w:val="28"/>
          <w:szCs w:val="28"/>
          <w:lang w:val="en-US" w:eastAsia="zh-CN"/>
        </w:rPr>
        <w:t>19</w:t>
      </w:r>
      <w:r>
        <w:rPr>
          <w:rFonts w:hint="eastAsia"/>
          <w:sz w:val="28"/>
          <w:szCs w:val="28"/>
        </w:rPr>
        <w:t>日印发</w:t>
      </w:r>
    </w:p>
    <w:sectPr>
      <w:pgSz w:w="11907" w:h="16840"/>
      <w:pgMar w:top="1871" w:right="1474" w:bottom="1758" w:left="1588" w:header="851" w:footer="1134" w:gutter="0"/>
      <w:cols w:space="720" w:num="1"/>
      <w:docGrid w:type="linesAndChars" w:linePitch="60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monospace">
    <w:altName w:val="汉仪仿宋S"/>
    <w:panose1 w:val="00000000000000000000"/>
    <w:charset w:val="00"/>
    <w:family w:val="auto"/>
    <w:pitch w:val="default"/>
    <w:sig w:usb0="00000000" w:usb1="00000000" w:usb2="00000000" w:usb3="00000000" w:csb0="00000000" w:csb1="00000000"/>
  </w:font>
  <w:font w:name="Verdana">
    <w:altName w:val="DejaVu Sans"/>
    <w:panose1 w:val="020B0604030504040204"/>
    <w:charset w:val="00"/>
    <w:family w:val="swiss"/>
    <w:pitch w:val="default"/>
    <w:sig w:usb0="00000000" w:usb1="00000000" w:usb2="0000001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8"/>
      </w:rPr>
    </w:pPr>
    <w:r>
      <w:rPr>
        <w:rFonts w:hint="eastAsia" w:ascii="仿宋_GB2312"/>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11</w:t>
    </w:r>
    <w:r>
      <w:rPr>
        <w:kern w:val="0"/>
        <w:sz w:val="28"/>
      </w:rPr>
      <w:fldChar w:fldCharType="end"/>
    </w:r>
    <w:r>
      <w:rPr>
        <w:kern w:val="0"/>
        <w:sz w:val="28"/>
      </w:rPr>
      <w:t xml:space="preserve"> </w:t>
    </w:r>
    <w:r>
      <w:rPr>
        <w:rFonts w:hint="eastAsia" w:ascii="仿宋_GB2312"/>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80"/>
      <w:rPr>
        <w:sz w:val="28"/>
      </w:rPr>
    </w:pPr>
    <w:r>
      <w:rPr>
        <w:rFonts w:hint="eastAsia" w:ascii="仿宋_GB2312"/>
        <w:kern w:val="0"/>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12</w:t>
    </w:r>
    <w:r>
      <w:rPr>
        <w:kern w:val="0"/>
        <w:sz w:val="28"/>
      </w:rPr>
      <w:fldChar w:fldCharType="end"/>
    </w:r>
    <w:r>
      <w:rPr>
        <w:kern w:val="0"/>
        <w:sz w:val="28"/>
      </w:rPr>
      <w:t xml:space="preserve"> </w:t>
    </w:r>
    <w:r>
      <w:rPr>
        <w:rFonts w:hint="eastAsia" w:ascii="仿宋_GB2312"/>
        <w:kern w:val="0"/>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NotTrackMoves/>
  <w:revisionView w:markup="0"/>
  <w:documentProtection w:enforcement="0"/>
  <w:defaultTabStop w:val="420"/>
  <w:evenAndOddHeaders w:val="true"/>
  <w:drawingGridHorizontalSpacing w:val="158"/>
  <w:drawingGridVerticalSpacing w:val="29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72.26.24.106/api/officeService/Servlet?x-auth-token=5fb5c483-ddac-4f63-8018-80f3d4fd2fbc"/>
  </w:docVars>
  <w:rsids>
    <w:rsidRoot w:val="00DD78B4"/>
    <w:rsid w:val="000240FF"/>
    <w:rsid w:val="00031EF5"/>
    <w:rsid w:val="0003313F"/>
    <w:rsid w:val="0004243B"/>
    <w:rsid w:val="0005568A"/>
    <w:rsid w:val="00064212"/>
    <w:rsid w:val="00067219"/>
    <w:rsid w:val="00067CEC"/>
    <w:rsid w:val="00076AF9"/>
    <w:rsid w:val="0008003A"/>
    <w:rsid w:val="00081622"/>
    <w:rsid w:val="00082B3E"/>
    <w:rsid w:val="00084984"/>
    <w:rsid w:val="000906A2"/>
    <w:rsid w:val="000A2EA6"/>
    <w:rsid w:val="000B03D8"/>
    <w:rsid w:val="000B2886"/>
    <w:rsid w:val="000C10BB"/>
    <w:rsid w:val="000C6ED9"/>
    <w:rsid w:val="000D0B0A"/>
    <w:rsid w:val="000D1DFF"/>
    <w:rsid w:val="000D290D"/>
    <w:rsid w:val="000E2A82"/>
    <w:rsid w:val="000F49F5"/>
    <w:rsid w:val="000F4AE4"/>
    <w:rsid w:val="000F4E12"/>
    <w:rsid w:val="00130069"/>
    <w:rsid w:val="00133F96"/>
    <w:rsid w:val="0014362F"/>
    <w:rsid w:val="00145B9C"/>
    <w:rsid w:val="001533BD"/>
    <w:rsid w:val="00155587"/>
    <w:rsid w:val="00162909"/>
    <w:rsid w:val="00166823"/>
    <w:rsid w:val="001A594C"/>
    <w:rsid w:val="001B4C94"/>
    <w:rsid w:val="001B7A02"/>
    <w:rsid w:val="001C0DFB"/>
    <w:rsid w:val="001C6A87"/>
    <w:rsid w:val="001D6A9F"/>
    <w:rsid w:val="001D6D44"/>
    <w:rsid w:val="001E53C0"/>
    <w:rsid w:val="001E5B8A"/>
    <w:rsid w:val="001F4E48"/>
    <w:rsid w:val="001F5438"/>
    <w:rsid w:val="001F74BA"/>
    <w:rsid w:val="0021240E"/>
    <w:rsid w:val="00220F77"/>
    <w:rsid w:val="00223A86"/>
    <w:rsid w:val="002244C3"/>
    <w:rsid w:val="002469CF"/>
    <w:rsid w:val="0024751E"/>
    <w:rsid w:val="00250113"/>
    <w:rsid w:val="00251B1E"/>
    <w:rsid w:val="002869F8"/>
    <w:rsid w:val="00295EB9"/>
    <w:rsid w:val="002A0958"/>
    <w:rsid w:val="002A0B84"/>
    <w:rsid w:val="002A0D57"/>
    <w:rsid w:val="002B6722"/>
    <w:rsid w:val="002C6D31"/>
    <w:rsid w:val="002D5F85"/>
    <w:rsid w:val="002E48F0"/>
    <w:rsid w:val="002F216B"/>
    <w:rsid w:val="002F73F7"/>
    <w:rsid w:val="00302034"/>
    <w:rsid w:val="00315B0D"/>
    <w:rsid w:val="00316AC3"/>
    <w:rsid w:val="00335D7B"/>
    <w:rsid w:val="003474F8"/>
    <w:rsid w:val="00364045"/>
    <w:rsid w:val="00365D39"/>
    <w:rsid w:val="00367A42"/>
    <w:rsid w:val="00373EA2"/>
    <w:rsid w:val="00377DA6"/>
    <w:rsid w:val="00383970"/>
    <w:rsid w:val="00396357"/>
    <w:rsid w:val="003974ED"/>
    <w:rsid w:val="003A3706"/>
    <w:rsid w:val="003D164C"/>
    <w:rsid w:val="003E1F5E"/>
    <w:rsid w:val="003F4C47"/>
    <w:rsid w:val="003F75EA"/>
    <w:rsid w:val="004033D3"/>
    <w:rsid w:val="004134B2"/>
    <w:rsid w:val="004405B3"/>
    <w:rsid w:val="00457DFC"/>
    <w:rsid w:val="00474CD3"/>
    <w:rsid w:val="0047510A"/>
    <w:rsid w:val="0048657E"/>
    <w:rsid w:val="004A1D56"/>
    <w:rsid w:val="004A2A5A"/>
    <w:rsid w:val="004B72BB"/>
    <w:rsid w:val="004C05F8"/>
    <w:rsid w:val="004E5BAF"/>
    <w:rsid w:val="004F32D9"/>
    <w:rsid w:val="004F7A5E"/>
    <w:rsid w:val="00504ABF"/>
    <w:rsid w:val="00515F85"/>
    <w:rsid w:val="00516350"/>
    <w:rsid w:val="00516786"/>
    <w:rsid w:val="0052511F"/>
    <w:rsid w:val="00531DD2"/>
    <w:rsid w:val="00535575"/>
    <w:rsid w:val="00536194"/>
    <w:rsid w:val="0055327B"/>
    <w:rsid w:val="00556452"/>
    <w:rsid w:val="005601CD"/>
    <w:rsid w:val="00572092"/>
    <w:rsid w:val="00572AFD"/>
    <w:rsid w:val="0057491B"/>
    <w:rsid w:val="00574FD3"/>
    <w:rsid w:val="005756C6"/>
    <w:rsid w:val="005A0CED"/>
    <w:rsid w:val="005A1F84"/>
    <w:rsid w:val="005A2565"/>
    <w:rsid w:val="005B10A9"/>
    <w:rsid w:val="005B2243"/>
    <w:rsid w:val="005F2F36"/>
    <w:rsid w:val="005F63EB"/>
    <w:rsid w:val="006002EC"/>
    <w:rsid w:val="00611CDF"/>
    <w:rsid w:val="006150F9"/>
    <w:rsid w:val="00635884"/>
    <w:rsid w:val="006369D2"/>
    <w:rsid w:val="006606D7"/>
    <w:rsid w:val="00665C90"/>
    <w:rsid w:val="00681646"/>
    <w:rsid w:val="006903D2"/>
    <w:rsid w:val="00695EAC"/>
    <w:rsid w:val="006A1AEA"/>
    <w:rsid w:val="006A75D5"/>
    <w:rsid w:val="006B165D"/>
    <w:rsid w:val="006B56DE"/>
    <w:rsid w:val="006C1379"/>
    <w:rsid w:val="006C2836"/>
    <w:rsid w:val="006C375E"/>
    <w:rsid w:val="006C7263"/>
    <w:rsid w:val="006D131B"/>
    <w:rsid w:val="006E14C7"/>
    <w:rsid w:val="0071279A"/>
    <w:rsid w:val="00736D19"/>
    <w:rsid w:val="00744861"/>
    <w:rsid w:val="007456CE"/>
    <w:rsid w:val="00746149"/>
    <w:rsid w:val="00764ACD"/>
    <w:rsid w:val="00771BA5"/>
    <w:rsid w:val="00772FEC"/>
    <w:rsid w:val="0077711F"/>
    <w:rsid w:val="00781C32"/>
    <w:rsid w:val="0078350A"/>
    <w:rsid w:val="00792792"/>
    <w:rsid w:val="00795E1D"/>
    <w:rsid w:val="007A75E1"/>
    <w:rsid w:val="007C4436"/>
    <w:rsid w:val="007D33C7"/>
    <w:rsid w:val="007D3683"/>
    <w:rsid w:val="007E0D48"/>
    <w:rsid w:val="007F3150"/>
    <w:rsid w:val="007F3864"/>
    <w:rsid w:val="00812BBD"/>
    <w:rsid w:val="00815458"/>
    <w:rsid w:val="008176FA"/>
    <w:rsid w:val="00823E9F"/>
    <w:rsid w:val="00840544"/>
    <w:rsid w:val="008514EB"/>
    <w:rsid w:val="00851A72"/>
    <w:rsid w:val="00863562"/>
    <w:rsid w:val="00864DDD"/>
    <w:rsid w:val="008760C6"/>
    <w:rsid w:val="00885DE2"/>
    <w:rsid w:val="008A0D31"/>
    <w:rsid w:val="008A138E"/>
    <w:rsid w:val="008B5976"/>
    <w:rsid w:val="008C1C6C"/>
    <w:rsid w:val="008C584E"/>
    <w:rsid w:val="008C6037"/>
    <w:rsid w:val="008D1128"/>
    <w:rsid w:val="008D3491"/>
    <w:rsid w:val="008D5BF2"/>
    <w:rsid w:val="008D6FEF"/>
    <w:rsid w:val="008D7B21"/>
    <w:rsid w:val="008E246C"/>
    <w:rsid w:val="008E67DE"/>
    <w:rsid w:val="008F059D"/>
    <w:rsid w:val="008F738F"/>
    <w:rsid w:val="008F75AC"/>
    <w:rsid w:val="00901EA9"/>
    <w:rsid w:val="00902C5A"/>
    <w:rsid w:val="00917713"/>
    <w:rsid w:val="009373FA"/>
    <w:rsid w:val="0094340E"/>
    <w:rsid w:val="009439FC"/>
    <w:rsid w:val="009472D6"/>
    <w:rsid w:val="009535DB"/>
    <w:rsid w:val="00962CB4"/>
    <w:rsid w:val="00963622"/>
    <w:rsid w:val="00970DA2"/>
    <w:rsid w:val="0097296E"/>
    <w:rsid w:val="0097607B"/>
    <w:rsid w:val="009C1AF0"/>
    <w:rsid w:val="009D6606"/>
    <w:rsid w:val="009E1B7F"/>
    <w:rsid w:val="009E3641"/>
    <w:rsid w:val="009E70A5"/>
    <w:rsid w:val="009F2393"/>
    <w:rsid w:val="00A03E12"/>
    <w:rsid w:val="00A13A7F"/>
    <w:rsid w:val="00A15B7C"/>
    <w:rsid w:val="00A17999"/>
    <w:rsid w:val="00A34EFB"/>
    <w:rsid w:val="00A57BED"/>
    <w:rsid w:val="00A63B03"/>
    <w:rsid w:val="00A81294"/>
    <w:rsid w:val="00A87323"/>
    <w:rsid w:val="00AB2C41"/>
    <w:rsid w:val="00AB5026"/>
    <w:rsid w:val="00AB64DD"/>
    <w:rsid w:val="00AC22BF"/>
    <w:rsid w:val="00AE2CB8"/>
    <w:rsid w:val="00B03523"/>
    <w:rsid w:val="00B125DA"/>
    <w:rsid w:val="00B1545D"/>
    <w:rsid w:val="00B156AA"/>
    <w:rsid w:val="00B20555"/>
    <w:rsid w:val="00B21BC6"/>
    <w:rsid w:val="00B254A4"/>
    <w:rsid w:val="00B270A7"/>
    <w:rsid w:val="00B332B2"/>
    <w:rsid w:val="00B3383F"/>
    <w:rsid w:val="00B43804"/>
    <w:rsid w:val="00B61B7A"/>
    <w:rsid w:val="00B62DF4"/>
    <w:rsid w:val="00B661C5"/>
    <w:rsid w:val="00B74CD2"/>
    <w:rsid w:val="00B766B9"/>
    <w:rsid w:val="00B8139F"/>
    <w:rsid w:val="00B95113"/>
    <w:rsid w:val="00BA6C24"/>
    <w:rsid w:val="00BA7459"/>
    <w:rsid w:val="00BB30D1"/>
    <w:rsid w:val="00BD6C4B"/>
    <w:rsid w:val="00BF0069"/>
    <w:rsid w:val="00BF00D6"/>
    <w:rsid w:val="00C0494B"/>
    <w:rsid w:val="00C101E7"/>
    <w:rsid w:val="00C11D5E"/>
    <w:rsid w:val="00C26F1A"/>
    <w:rsid w:val="00C36CD1"/>
    <w:rsid w:val="00C44943"/>
    <w:rsid w:val="00C57315"/>
    <w:rsid w:val="00C7524A"/>
    <w:rsid w:val="00C75587"/>
    <w:rsid w:val="00C76886"/>
    <w:rsid w:val="00C771B0"/>
    <w:rsid w:val="00CB1A47"/>
    <w:rsid w:val="00CD11F1"/>
    <w:rsid w:val="00CD66E0"/>
    <w:rsid w:val="00CE6452"/>
    <w:rsid w:val="00CF5918"/>
    <w:rsid w:val="00D05ED3"/>
    <w:rsid w:val="00D24EA8"/>
    <w:rsid w:val="00D44D44"/>
    <w:rsid w:val="00D47CBF"/>
    <w:rsid w:val="00D52DD0"/>
    <w:rsid w:val="00D64CB4"/>
    <w:rsid w:val="00D67264"/>
    <w:rsid w:val="00D67BAB"/>
    <w:rsid w:val="00D71AA8"/>
    <w:rsid w:val="00D75456"/>
    <w:rsid w:val="00D75E00"/>
    <w:rsid w:val="00D81F11"/>
    <w:rsid w:val="00D90667"/>
    <w:rsid w:val="00D93956"/>
    <w:rsid w:val="00DA0616"/>
    <w:rsid w:val="00DA5D10"/>
    <w:rsid w:val="00DA697D"/>
    <w:rsid w:val="00DB404B"/>
    <w:rsid w:val="00DC6255"/>
    <w:rsid w:val="00DC725F"/>
    <w:rsid w:val="00DD78B4"/>
    <w:rsid w:val="00DE711B"/>
    <w:rsid w:val="00DF34B1"/>
    <w:rsid w:val="00E03A98"/>
    <w:rsid w:val="00E075DF"/>
    <w:rsid w:val="00E17D05"/>
    <w:rsid w:val="00E2168F"/>
    <w:rsid w:val="00E2331A"/>
    <w:rsid w:val="00E331DB"/>
    <w:rsid w:val="00E53C0F"/>
    <w:rsid w:val="00E542ED"/>
    <w:rsid w:val="00E674BD"/>
    <w:rsid w:val="00E817C7"/>
    <w:rsid w:val="00E96365"/>
    <w:rsid w:val="00EC6597"/>
    <w:rsid w:val="00ED756E"/>
    <w:rsid w:val="00EF5662"/>
    <w:rsid w:val="00F02C5F"/>
    <w:rsid w:val="00F03798"/>
    <w:rsid w:val="00F0546C"/>
    <w:rsid w:val="00F054FB"/>
    <w:rsid w:val="00F1299E"/>
    <w:rsid w:val="00F12C27"/>
    <w:rsid w:val="00F64793"/>
    <w:rsid w:val="00F764C6"/>
    <w:rsid w:val="00F7726E"/>
    <w:rsid w:val="00F86173"/>
    <w:rsid w:val="00F92A80"/>
    <w:rsid w:val="00FA3781"/>
    <w:rsid w:val="00FB6672"/>
    <w:rsid w:val="00FB690D"/>
    <w:rsid w:val="00FC0AAF"/>
    <w:rsid w:val="00FC66DC"/>
    <w:rsid w:val="00FE1572"/>
    <w:rsid w:val="00FE7325"/>
    <w:rsid w:val="02823586"/>
    <w:rsid w:val="1BB2209D"/>
    <w:rsid w:val="7D4E021F"/>
    <w:rsid w:val="B72F812A"/>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eastAsia="宋体"/>
      <w:b/>
      <w:bCs/>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Calibri" w:hAnsi="Calibri" w:eastAsia="宋体"/>
      <w:sz w:val="21"/>
      <w:szCs w:val="22"/>
    </w:rPr>
  </w:style>
  <w:style w:type="paragraph" w:styleId="4">
    <w:name w:val="Body Text"/>
    <w:basedOn w:val="1"/>
    <w:link w:val="30"/>
    <w:qFormat/>
    <w:uiPriority w:val="0"/>
    <w:pPr>
      <w:spacing w:line="0" w:lineRule="atLeast"/>
      <w:jc w:val="center"/>
    </w:pPr>
    <w:rPr>
      <w:rFonts w:eastAsia="方正小标宋简体"/>
      <w:sz w:val="44"/>
      <w:szCs w:val="20"/>
    </w:rPr>
  </w:style>
  <w:style w:type="paragraph" w:styleId="5">
    <w:name w:val="Body Text Indent"/>
    <w:basedOn w:val="1"/>
    <w:qFormat/>
    <w:uiPriority w:val="0"/>
    <w:pPr>
      <w:ind w:firstLine="615"/>
    </w:pPr>
    <w:rPr>
      <w:szCs w:val="20"/>
    </w:rPr>
  </w:style>
  <w:style w:type="paragraph" w:styleId="6">
    <w:name w:val="Date"/>
    <w:basedOn w:val="1"/>
    <w:next w:val="1"/>
    <w:qFormat/>
    <w:uiPriority w:val="0"/>
    <w:pPr>
      <w:ind w:left="100" w:leftChars="2500"/>
    </w:pPr>
  </w:style>
  <w:style w:type="paragraph" w:styleId="7">
    <w:name w:val="Body Text Indent 2"/>
    <w:basedOn w:val="1"/>
    <w:qFormat/>
    <w:uiPriority w:val="0"/>
    <w:pPr>
      <w:ind w:firstLine="608" w:firstLineChars="200"/>
    </w:pPr>
    <w:rPr>
      <w:rFonts w:ascii="仿宋_GB2312"/>
      <w:spacing w:val="-6"/>
    </w:rPr>
  </w:style>
  <w:style w:type="paragraph" w:styleId="8">
    <w:name w:val="Balloon Text"/>
    <w:basedOn w:val="1"/>
    <w:link w:val="24"/>
    <w:semiHidden/>
    <w:qFormat/>
    <w:uiPriority w:val="0"/>
    <w:rPr>
      <w:sz w:val="18"/>
      <w:szCs w:val="18"/>
    </w:rPr>
  </w:style>
  <w:style w:type="paragraph" w:styleId="9">
    <w:name w:val="footer"/>
    <w:basedOn w:val="1"/>
    <w:link w:val="23"/>
    <w:qFormat/>
    <w:uiPriority w:val="0"/>
    <w:pPr>
      <w:tabs>
        <w:tab w:val="center" w:pos="4153"/>
        <w:tab w:val="right" w:pos="8306"/>
      </w:tabs>
      <w:snapToGrid w:val="0"/>
      <w:jc w:val="left"/>
    </w:pPr>
    <w:rPr>
      <w:sz w:val="18"/>
      <w:szCs w:val="18"/>
    </w:rPr>
  </w:style>
  <w:style w:type="paragraph" w:styleId="10">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line="598" w:lineRule="exact"/>
      <w:ind w:firstLine="616" w:firstLineChars="200"/>
    </w:pPr>
    <w:rPr>
      <w:spacing w:val="-4"/>
    </w:rPr>
  </w:style>
  <w:style w:type="paragraph" w:styleId="12">
    <w:name w:val="Normal (Web)"/>
    <w:basedOn w:val="1"/>
    <w:qFormat/>
    <w:uiPriority w:val="0"/>
    <w:pPr>
      <w:widowControl/>
      <w:spacing w:before="100" w:beforeAutospacing="1" w:after="100" w:afterAutospacing="1"/>
      <w:jc w:val="left"/>
    </w:pPr>
    <w:rPr>
      <w:rFonts w:ascii="宋体" w:hAnsi="宋体" w:eastAsia="宋体"/>
      <w:color w:val="000000"/>
      <w:kern w:val="0"/>
      <w:sz w:val="24"/>
    </w:rPr>
  </w:style>
  <w:style w:type="paragraph" w:styleId="13">
    <w:name w:val="Body Text First Indent"/>
    <w:basedOn w:val="4"/>
    <w:link w:val="31"/>
    <w:qFormat/>
    <w:uiPriority w:val="0"/>
    <w:pPr>
      <w:spacing w:after="120" w:line="240" w:lineRule="auto"/>
      <w:ind w:firstLine="420" w:firstLineChars="100"/>
      <w:jc w:val="both"/>
    </w:pPr>
    <w:rPr>
      <w:rFonts w:eastAsia="仿宋_GB2312"/>
      <w:sz w:val="32"/>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bCs/>
    </w:rPr>
  </w:style>
  <w:style w:type="character" w:styleId="18">
    <w:name w:val="FollowedHyperlink"/>
    <w:basedOn w:val="16"/>
    <w:qFormat/>
    <w:uiPriority w:val="0"/>
    <w:rPr>
      <w:color w:val="800080"/>
      <w:u w:val="single"/>
    </w:rPr>
  </w:style>
  <w:style w:type="character" w:styleId="19">
    <w:name w:val="Hyperlink"/>
    <w:basedOn w:val="16"/>
    <w:qFormat/>
    <w:uiPriority w:val="0"/>
    <w:rPr>
      <w:color w:val="0000FF"/>
      <w:u w:val="single"/>
    </w:rPr>
  </w:style>
  <w:style w:type="character" w:styleId="20">
    <w:name w:val="HTML Code"/>
    <w:basedOn w:val="16"/>
    <w:qFormat/>
    <w:uiPriority w:val="0"/>
    <w:rPr>
      <w:rFonts w:hint="default" w:ascii="monospace" w:hAnsi="monospace" w:eastAsia="monospace" w:cs="monospace"/>
      <w:sz w:val="21"/>
      <w:szCs w:val="21"/>
    </w:rPr>
  </w:style>
  <w:style w:type="character" w:styleId="21">
    <w:name w:val="HTML Keyboard"/>
    <w:basedOn w:val="16"/>
    <w:qFormat/>
    <w:uiPriority w:val="0"/>
    <w:rPr>
      <w:rFonts w:ascii="monospace" w:hAnsi="monospace" w:eastAsia="monospace" w:cs="monospace"/>
      <w:sz w:val="21"/>
      <w:szCs w:val="21"/>
    </w:rPr>
  </w:style>
  <w:style w:type="character" w:styleId="22">
    <w:name w:val="HTML Sample"/>
    <w:basedOn w:val="16"/>
    <w:qFormat/>
    <w:uiPriority w:val="0"/>
    <w:rPr>
      <w:rFonts w:hint="default" w:ascii="monospace" w:hAnsi="monospace" w:eastAsia="monospace" w:cs="monospace"/>
      <w:sz w:val="21"/>
      <w:szCs w:val="21"/>
    </w:rPr>
  </w:style>
  <w:style w:type="character" w:customStyle="1" w:styleId="23">
    <w:name w:val="页脚 Char"/>
    <w:link w:val="9"/>
    <w:qFormat/>
    <w:uiPriority w:val="0"/>
    <w:rPr>
      <w:rFonts w:eastAsia="仿宋_GB2312"/>
      <w:kern w:val="2"/>
      <w:sz w:val="18"/>
      <w:szCs w:val="18"/>
      <w:lang w:val="en-US" w:eastAsia="zh-CN" w:bidi="ar-SA"/>
    </w:rPr>
  </w:style>
  <w:style w:type="character" w:customStyle="1" w:styleId="24">
    <w:name w:val="批注框文本 Char"/>
    <w:link w:val="8"/>
    <w:qFormat/>
    <w:uiPriority w:val="0"/>
    <w:rPr>
      <w:rFonts w:eastAsia="仿宋_GB2312"/>
      <w:kern w:val="2"/>
      <w:sz w:val="18"/>
      <w:szCs w:val="18"/>
      <w:lang w:val="en-US" w:eastAsia="zh-CN" w:bidi="ar-SA"/>
    </w:rPr>
  </w:style>
  <w:style w:type="character" w:customStyle="1" w:styleId="25">
    <w:name w:val="页眉 Char"/>
    <w:link w:val="10"/>
    <w:qFormat/>
    <w:uiPriority w:val="0"/>
    <w:rPr>
      <w:rFonts w:eastAsia="仿宋_GB2312"/>
      <w:kern w:val="2"/>
      <w:sz w:val="18"/>
      <w:szCs w:val="18"/>
      <w:lang w:val="en-US" w:eastAsia="zh-CN" w:bidi="ar-SA"/>
    </w:rPr>
  </w:style>
  <w:style w:type="paragraph" w:customStyle="1" w:styleId="26">
    <w:name w:val="Char1"/>
    <w:basedOn w:val="1"/>
    <w:qFormat/>
    <w:uiPriority w:val="0"/>
    <w:rPr>
      <w:rFonts w:ascii="仿宋_GB2312"/>
      <w:b/>
      <w:szCs w:val="32"/>
    </w:rPr>
  </w:style>
  <w:style w:type="paragraph" w:customStyle="1" w:styleId="2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szCs w:val="32"/>
      <w:lang w:eastAsia="en-US"/>
    </w:rPr>
  </w:style>
  <w:style w:type="paragraph" w:customStyle="1" w:styleId="28">
    <w:name w:val="Char1 Char Char Char"/>
    <w:basedOn w:val="1"/>
    <w:qFormat/>
    <w:uiPriority w:val="0"/>
    <w:pPr>
      <w:snapToGrid w:val="0"/>
      <w:spacing w:line="300" w:lineRule="auto"/>
    </w:pPr>
    <w:rPr>
      <w:rFonts w:eastAsia="宋体"/>
      <w:sz w:val="21"/>
      <w:szCs w:val="20"/>
    </w:rPr>
  </w:style>
  <w:style w:type="paragraph" w:customStyle="1" w:styleId="29">
    <w:name w:val="Char"/>
    <w:basedOn w:val="1"/>
    <w:qFormat/>
    <w:uiPriority w:val="0"/>
    <w:pPr>
      <w:tabs>
        <w:tab w:val="left" w:pos="432"/>
      </w:tabs>
      <w:spacing w:beforeLines="50" w:afterLines="50"/>
      <w:ind w:left="432" w:hanging="432"/>
    </w:pPr>
    <w:rPr>
      <w:rFonts w:eastAsia="宋体"/>
      <w:sz w:val="21"/>
      <w:szCs w:val="20"/>
    </w:rPr>
  </w:style>
  <w:style w:type="character" w:customStyle="1" w:styleId="30">
    <w:name w:val="正文文本 Char"/>
    <w:basedOn w:val="16"/>
    <w:link w:val="4"/>
    <w:qFormat/>
    <w:uiPriority w:val="0"/>
    <w:rPr>
      <w:rFonts w:eastAsia="方正小标宋简体"/>
      <w:kern w:val="2"/>
      <w:sz w:val="44"/>
    </w:rPr>
  </w:style>
  <w:style w:type="character" w:customStyle="1" w:styleId="31">
    <w:name w:val="正文首行缩进 Char"/>
    <w:basedOn w:val="30"/>
    <w:link w:val="13"/>
    <w:qFormat/>
    <w:uiPriority w:val="0"/>
  </w:style>
  <w:style w:type="character" w:customStyle="1" w:styleId="32">
    <w:name w:val="tmpztreemove_arrow"/>
    <w:basedOn w:val="16"/>
    <w:qFormat/>
    <w:uiPriority w:val="0"/>
  </w:style>
  <w:style w:type="character" w:customStyle="1" w:styleId="33">
    <w:name w:val="not([class*=suffix])"/>
    <w:basedOn w:val="16"/>
    <w:qFormat/>
    <w:uiPriority w:val="0"/>
  </w:style>
  <w:style w:type="character" w:customStyle="1" w:styleId="34">
    <w:name w:val="not([class*=suffix])1"/>
    <w:basedOn w:val="16"/>
    <w:qFormat/>
    <w:uiPriority w:val="0"/>
    <w:rPr>
      <w:sz w:val="19"/>
      <w:szCs w:val="19"/>
    </w:rPr>
  </w:style>
  <w:style w:type="character" w:customStyle="1" w:styleId="35">
    <w:name w:val="button"/>
    <w:basedOn w:val="16"/>
    <w:qFormat/>
    <w:uiPriority w:val="0"/>
  </w:style>
  <w:style w:type="character" w:customStyle="1" w:styleId="36">
    <w:name w:val="button4"/>
    <w:basedOn w:val="1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Info spid="_x0000_s1065"/>
    <customShpInfo spid="_x0000_s1066"/>
    <customShpInfo spid="_x0000_s1064"/>
    <customShpInfo spid="_x0000_s10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14</Pages>
  <Words>6474</Words>
  <Characters>6744</Characters>
  <Lines>3</Lines>
  <Paragraphs>13</Paragraphs>
  <TotalTime>9</TotalTime>
  <ScaleCrop>false</ScaleCrop>
  <LinksUpToDate>false</LinksUpToDate>
  <CharactersWithSpaces>6821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2022-04-16T19:29:00Z</dcterms:created>
  <dc:creator>wwwfox</dc:creator>
  <cp:lastModifiedBy>admin</cp:lastModifiedBy>
  <cp:lastPrinted>2013-12-24T16:58:00Z</cp:lastPrinted>
  <dcterms:modified xsi:type="dcterms:W3CDTF">2022-04-19T10:41:29Z</dcterms:modified>
  <dc:title>台政办发〔2004〕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C52181E14F694BE78CE51ACD3ECC59E5</vt:lpwstr>
  </property>
</Properties>
</file>